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adpis1"/>
        <w:spacing w:before="240" w:after="120"/>
        <w:ind w:left="1843" w:hanging="0"/>
        <w:jc w:val="both"/>
        <w:rPr>
          <w:rFonts w:eastAsia="Times New Roman" w:cs="Arial"/>
          <w:b w:val="false"/>
          <w:b w:val="false"/>
          <w:sz w:val="20"/>
          <w:szCs w:val="24"/>
        </w:rPr>
      </w:pPr>
      <w:r>
        <w:rPr>
          <w:rFonts w:eastAsia="Times New Roman" w:cs="Arial"/>
          <w:b w:val="false"/>
          <w:sz w:val="20"/>
          <w:szCs w:val="24"/>
        </w:rPr>
      </w:r>
    </w:p>
    <w:p>
      <w:pPr>
        <w:pStyle w:val="Normal"/>
        <w:rPr/>
      </w:pPr>
      <w:bookmarkStart w:id="0" w:name="_Toc472430023"/>
      <w:bookmarkStart w:id="1" w:name="_Toc479276017"/>
      <w:bookmarkEnd w:id="0"/>
      <w:bookmarkEnd w:id="1"/>
      <w:r>
        <w:rPr/>
        <w:t>Souhrnná technická zpráv</w:t>
      </w:r>
    </w:p>
    <w:sdt>
      <w:sdtPr>
        <w:docPartObj>
          <w:docPartGallery w:val="Table of Contents"/>
          <w:docPartUnique w:val="true"/>
        </w:docPartObj>
        <w:id w:val="540340411"/>
      </w:sdtPr>
      <w:sdtContent>
        <w:p>
          <w:pPr>
            <w:pStyle w:val="Nadpis1"/>
            <w:numPr>
              <w:ilvl w:val="0"/>
              <w:numId w:val="16"/>
            </w:numPr>
            <w:jc w:val="both"/>
            <w:rPr/>
          </w:pPr>
          <w:r>
            <w:fldChar w:fldCharType="begin"/>
          </w:r>
          <w:r>
            <w:instrText> TOC \z \o "1-3" \u \h</w:instrText>
          </w:r>
          <w:r>
            <w:fldChar w:fldCharType="separate"/>
          </w:r>
          <w:r>
            <w:rPr/>
          </w:r>
          <w:r>
            <w:fldChar w:fldCharType="end"/>
          </w:r>
        </w:p>
        <w:p>
          <w:pPr>
            <w:pStyle w:val="Nadpis1"/>
            <w:numPr>
              <w:ilvl w:val="1"/>
              <w:numId w:val="1"/>
            </w:numPr>
            <w:jc w:val="both"/>
            <w:rPr/>
          </w:pPr>
          <w:bookmarkStart w:id="2" w:name="_Toc479276018"/>
          <w:bookmarkStart w:id="3" w:name="_Toc471819871"/>
          <w:bookmarkEnd w:id="2"/>
          <w:bookmarkEnd w:id="3"/>
          <w:r>
            <w:rPr/>
            <w:t>Popis území stavby</w:t>
          </w:r>
        </w:p>
        <w:p>
          <w:pPr>
            <w:pStyle w:val="ListParagraph"/>
            <w:numPr>
              <w:ilvl w:val="0"/>
              <w:numId w:val="2"/>
            </w:numPr>
            <w:jc w:val="both"/>
            <w:rPr>
              <w:b/>
              <w:b/>
            </w:rPr>
          </w:pPr>
          <w:r>
            <w:rPr>
              <w:b/>
            </w:rPr>
            <w:t>Charakteristika stavebního pozemku</w:t>
          </w:r>
        </w:p>
        <w:p>
          <w:pPr>
            <w:pStyle w:val="ListParagraph"/>
            <w:jc w:val="both"/>
            <w:rPr/>
          </w:pPr>
          <w:r>
            <w:rPr/>
            <w:t xml:space="preserve">Projekt řeší přístavbu výtahu k objektu obchodní akademie Plzeň na nám. T. G. Masaryka v Plzni. Cílem návrhu je zajištění bezbariérovosti do všech podlaží. Přístavba je navržena na severní fasádě školy, směrem ze dvora. Přístavba je navržena na pozemku náležící k obchodní akademii. Místo přístavby je nezastavěné, jedná se o zpevněnou část dvora. </w:t>
          </w:r>
        </w:p>
        <w:p>
          <w:pPr>
            <w:pStyle w:val="ListParagraph"/>
            <w:rPr/>
          </w:pPr>
          <w:r>
            <w:rPr/>
            <w:t>V rámci této projektové dokumentace jsou dále navrženy úpravy/rekonstrukce a modernizace tří učeben a několika kabinetů. Dále je navržena nová toaleta pro osoby se sníženou schopností pohybu a orientace. Úpravy se týkají převážně modernizace elektroinstalace, nábytku, doplnění učebních pomůcek atd. (konkrétně viz projektová dokumentace)</w:t>
          </w:r>
        </w:p>
        <w:p>
          <w:pPr>
            <w:pStyle w:val="Normal"/>
            <w:jc w:val="both"/>
            <w:rPr/>
          </w:pPr>
          <w:r>
            <w:rPr/>
          </w:r>
        </w:p>
        <w:p>
          <w:pPr>
            <w:pStyle w:val="ListParagraph"/>
            <w:numPr>
              <w:ilvl w:val="0"/>
              <w:numId w:val="2"/>
            </w:numPr>
            <w:jc w:val="both"/>
            <w:rPr>
              <w:b/>
              <w:b/>
            </w:rPr>
          </w:pPr>
          <w:r>
            <w:rPr>
              <w:b/>
            </w:rPr>
            <w:t>výčet a závěry provedených průzkumů a rozborů (geolog. průzkum, hydrogeolog. průzkum, stavebně his. průzkum apod.)</w:t>
          </w:r>
        </w:p>
        <w:p>
          <w:pPr>
            <w:pStyle w:val="Normal"/>
            <w:ind w:left="708" w:hanging="0"/>
            <w:jc w:val="both"/>
            <w:rPr/>
          </w:pPr>
          <w:r>
            <w:rPr/>
            <w:t xml:space="preserve">Vzhledem k charakteru a místu stavby nebyl prováděn geologický, hydrogeologický ani stavebně historický průzkum. </w:t>
          </w:r>
        </w:p>
        <w:p>
          <w:pPr>
            <w:pStyle w:val="Normal"/>
            <w:ind w:firstLine="708"/>
            <w:jc w:val="both"/>
            <w:rPr/>
          </w:pPr>
          <w:r>
            <w:rPr/>
            <w:t xml:space="preserve">Umístěním přístavby nedojde k nežádoucímu zastínění okolní výstavby. </w:t>
          </w:r>
        </w:p>
        <w:p>
          <w:pPr>
            <w:pStyle w:val="Normal"/>
            <w:jc w:val="both"/>
            <w:rPr/>
          </w:pPr>
          <w:r>
            <w:rPr/>
          </w:r>
        </w:p>
        <w:p>
          <w:pPr>
            <w:pStyle w:val="ListParagraph"/>
            <w:numPr>
              <w:ilvl w:val="0"/>
              <w:numId w:val="2"/>
            </w:numPr>
            <w:jc w:val="both"/>
            <w:rPr>
              <w:b/>
              <w:b/>
            </w:rPr>
          </w:pPr>
          <w:r>
            <w:rPr>
              <w:b/>
            </w:rPr>
            <w:t>stávající ochranná a bezpečnostní pásma</w:t>
          </w:r>
        </w:p>
        <w:p>
          <w:pPr>
            <w:pStyle w:val="Normal"/>
            <w:jc w:val="both"/>
            <w:rPr/>
          </w:pPr>
          <w:r>
            <w:rPr/>
            <w:tab/>
            <w:t>V místě stavby se nevyskytují žádná ochranná a bezpečnostní pásma.</w:t>
          </w:r>
        </w:p>
        <w:p>
          <w:pPr>
            <w:pStyle w:val="Normal"/>
            <w:jc w:val="both"/>
            <w:rPr/>
          </w:pPr>
          <w:r>
            <w:rPr/>
          </w:r>
        </w:p>
        <w:p>
          <w:pPr>
            <w:pStyle w:val="ListParagraph"/>
            <w:numPr>
              <w:ilvl w:val="0"/>
              <w:numId w:val="2"/>
            </w:numPr>
            <w:jc w:val="both"/>
            <w:rPr>
              <w:b/>
              <w:b/>
            </w:rPr>
          </w:pPr>
          <w:r>
            <w:rPr>
              <w:b/>
            </w:rPr>
            <w:t>poloha vzhledem k záplav. území, poddolovanému území apod.</w:t>
          </w:r>
        </w:p>
        <w:p>
          <w:pPr>
            <w:pStyle w:val="Normal"/>
            <w:jc w:val="both"/>
            <w:rPr/>
          </w:pPr>
          <w:r>
            <w:rPr/>
            <w:tab/>
            <w:t>Dle dostupných údajů se navrhovaná stavba nenachází v záplavovém ani poddolovaném území.</w:t>
          </w:r>
        </w:p>
        <w:p>
          <w:pPr>
            <w:pStyle w:val="Normal"/>
            <w:jc w:val="both"/>
            <w:rPr/>
          </w:pPr>
          <w:r>
            <w:rPr/>
          </w:r>
        </w:p>
        <w:p>
          <w:pPr>
            <w:pStyle w:val="ListParagraph"/>
            <w:numPr>
              <w:ilvl w:val="0"/>
              <w:numId w:val="2"/>
            </w:numPr>
            <w:jc w:val="both"/>
            <w:rPr>
              <w:b/>
              <w:b/>
            </w:rPr>
          </w:pPr>
          <w:r>
            <w:rPr>
              <w:b/>
            </w:rPr>
            <w:t xml:space="preserve"> </w:t>
          </w:r>
          <w:r>
            <w:rPr>
              <w:b/>
            </w:rPr>
            <w:t>vliv stavby na okolní stavby a pozemky, ochrana okolí, vliv stavby na odtokové poměry v území</w:t>
          </w:r>
        </w:p>
        <w:p>
          <w:pPr>
            <w:pStyle w:val="Normal"/>
            <w:jc w:val="both"/>
            <w:rPr/>
          </w:pPr>
          <w:r>
            <w:rPr/>
            <w:tab/>
            <w:t>Navrhovaná stavba nebude mít žádný vliv na okolní pozemky ani na odtokové poměry.</w:t>
          </w:r>
        </w:p>
        <w:p>
          <w:pPr>
            <w:pStyle w:val="Normal"/>
            <w:jc w:val="both"/>
            <w:rPr/>
          </w:pPr>
          <w:r>
            <w:rPr/>
          </w:r>
        </w:p>
        <w:p>
          <w:pPr>
            <w:pStyle w:val="ListParagraph"/>
            <w:numPr>
              <w:ilvl w:val="0"/>
              <w:numId w:val="2"/>
            </w:numPr>
            <w:jc w:val="both"/>
            <w:rPr>
              <w:b/>
              <w:b/>
            </w:rPr>
          </w:pPr>
          <w:r>
            <w:rPr>
              <w:b/>
            </w:rPr>
            <w:t>požadavky na asanace, demolice, kácení dřevin</w:t>
          </w:r>
        </w:p>
        <w:p>
          <w:pPr>
            <w:pStyle w:val="Normal"/>
            <w:jc w:val="both"/>
            <w:rPr/>
          </w:pPr>
          <w:r>
            <w:rPr/>
            <w:tab/>
            <w:t>Netýká se uvedené stavby.</w:t>
          </w:r>
        </w:p>
        <w:p>
          <w:pPr>
            <w:pStyle w:val="Normal"/>
            <w:jc w:val="both"/>
            <w:rPr/>
          </w:pPr>
          <w:r>
            <w:rPr/>
          </w:r>
        </w:p>
        <w:p>
          <w:pPr>
            <w:pStyle w:val="ListParagraph"/>
            <w:numPr>
              <w:ilvl w:val="0"/>
              <w:numId w:val="2"/>
            </w:numPr>
            <w:jc w:val="both"/>
            <w:rPr>
              <w:b/>
              <w:b/>
            </w:rPr>
          </w:pPr>
          <w:r>
            <w:rPr>
              <w:b/>
            </w:rPr>
            <w:t>požadavky na maximální zábory zemědělského půdního fondu nebo pozemků určených k plnění funkce lesa (dočasné / trvalé)</w:t>
          </w:r>
        </w:p>
        <w:p>
          <w:pPr>
            <w:pStyle w:val="Normal"/>
            <w:ind w:firstLine="708"/>
            <w:jc w:val="both"/>
            <w:rPr/>
          </w:pPr>
          <w:r>
            <w:rPr/>
            <w:t>Není požadavek na trvalé odnětí zemědělské půdy.</w:t>
          </w:r>
        </w:p>
        <w:p>
          <w:pPr>
            <w:pStyle w:val="Normal"/>
            <w:jc w:val="both"/>
            <w:rPr/>
          </w:pPr>
          <w:r>
            <w:rPr/>
          </w:r>
        </w:p>
        <w:p>
          <w:pPr>
            <w:pStyle w:val="ListParagraph"/>
            <w:numPr>
              <w:ilvl w:val="0"/>
              <w:numId w:val="2"/>
            </w:numPr>
            <w:jc w:val="both"/>
            <w:rPr>
              <w:b/>
              <w:b/>
            </w:rPr>
          </w:pPr>
          <w:r>
            <w:rPr>
              <w:b/>
            </w:rPr>
            <w:t>územně technické podmínky (zejména možnost napojení na stávající dopravní a technickou infrastrukturu)</w:t>
          </w:r>
        </w:p>
        <w:p>
          <w:pPr>
            <w:pStyle w:val="Normal"/>
            <w:ind w:left="708" w:hanging="0"/>
            <w:jc w:val="both"/>
            <w:rPr/>
          </w:pPr>
          <w:r>
            <w:rPr/>
            <w:t>Jedná se o přístavbu výtahu umístěnou na dvoře obchodní akademie v Plzni. K místu stavby je umožněn přístup stávajícím vjezdem. Vjezd do dvora je z ulice Petákova.</w:t>
          </w:r>
        </w:p>
        <w:p>
          <w:pPr>
            <w:pStyle w:val="Normal"/>
            <w:ind w:firstLine="708"/>
            <w:jc w:val="both"/>
            <w:rPr/>
          </w:pPr>
          <w:r>
            <w:rPr/>
            <w:t>Nová přístavba bude napojena na stávající rozvody objektu (elektrickou energii).</w:t>
          </w:r>
        </w:p>
        <w:p>
          <w:pPr>
            <w:pStyle w:val="Normal"/>
            <w:ind w:left="708" w:hanging="0"/>
            <w:jc w:val="both"/>
            <w:rPr/>
          </w:pPr>
          <w:r>
            <w:rPr/>
            <w:t>Dešťové vody z nové výtahové šachty budou svedeny dešťovým svodem a budou po povrchu odvedeny do stávajících vpustí, umístěných ve stávající spádované zpevněné ploše. Navýšení dešťovým vod je zanedbatelného rozsahu.</w:t>
          </w:r>
        </w:p>
        <w:p>
          <w:pPr>
            <w:pStyle w:val="Normal"/>
            <w:ind w:left="360" w:firstLine="348"/>
            <w:jc w:val="both"/>
            <w:rPr/>
          </w:pPr>
          <w:r>
            <w:rPr/>
          </w:r>
        </w:p>
        <w:p>
          <w:pPr>
            <w:pStyle w:val="ListParagraph"/>
            <w:numPr>
              <w:ilvl w:val="0"/>
              <w:numId w:val="2"/>
            </w:numPr>
            <w:jc w:val="both"/>
            <w:rPr>
              <w:b/>
              <w:b/>
            </w:rPr>
          </w:pPr>
          <w:r>
            <w:rPr>
              <w:b/>
            </w:rPr>
            <w:t>věcné a časové vazby stavby, podmiňující, vyvolané, související investice</w:t>
          </w:r>
        </w:p>
        <w:p>
          <w:pPr>
            <w:pStyle w:val="Normal"/>
            <w:ind w:left="708" w:hanging="0"/>
            <w:jc w:val="both"/>
            <w:rPr/>
          </w:pPr>
          <w:r>
            <w:rPr/>
            <w:t>Stavba si nevyžádá žádné související investice. Z hlediska časových vazeb se nevyskytují významné podmínky výstavby.</w:t>
          </w:r>
        </w:p>
        <w:p>
          <w:pPr>
            <w:pStyle w:val="Nadpis1"/>
            <w:numPr>
              <w:ilvl w:val="1"/>
              <w:numId w:val="1"/>
            </w:numPr>
            <w:jc w:val="both"/>
            <w:rPr/>
          </w:pPr>
          <w:bookmarkStart w:id="4" w:name="_Toc479276019"/>
          <w:bookmarkStart w:id="5" w:name="_Toc471819872"/>
          <w:bookmarkEnd w:id="4"/>
          <w:bookmarkEnd w:id="5"/>
          <w:r>
            <w:rPr/>
            <w:t>Celkový popis stavby</w:t>
          </w:r>
        </w:p>
        <w:p>
          <w:pPr>
            <w:pStyle w:val="Nadpis2"/>
            <w:numPr>
              <w:ilvl w:val="2"/>
              <w:numId w:val="1"/>
            </w:numPr>
            <w:jc w:val="both"/>
            <w:rPr/>
          </w:pPr>
          <w:bookmarkStart w:id="6" w:name="_Toc479276020"/>
          <w:bookmarkStart w:id="7" w:name="_Toc471819873"/>
          <w:bookmarkEnd w:id="6"/>
          <w:bookmarkEnd w:id="7"/>
          <w:r>
            <w:rPr/>
            <w:t>Účel užívání stavby</w:t>
          </w:r>
        </w:p>
        <w:p>
          <w:pPr>
            <w:pStyle w:val="ListParagraph"/>
            <w:numPr>
              <w:ilvl w:val="0"/>
              <w:numId w:val="3"/>
            </w:numPr>
            <w:jc w:val="both"/>
            <w:rPr>
              <w:b/>
              <w:b/>
            </w:rPr>
          </w:pPr>
          <w:r>
            <w:rPr>
              <w:b/>
            </w:rPr>
            <w:t>funkční náplň stavby</w:t>
          </w:r>
        </w:p>
        <w:p>
          <w:pPr>
            <w:pStyle w:val="Normal"/>
            <w:ind w:left="708" w:hanging="0"/>
            <w:rPr/>
          </w:pPr>
          <w:r>
            <w:rPr/>
            <w:t>Jedná se o přístavbu výtahové šachty zajišťující bezbariérové užívání všech nadzemních pater obchodní akademie a úpravy/rekonstrukce a modernizace tří učeben a několika kabinetů. Dále je navržena nová toaleta pro osoby se sníženou schopností pohybu a orientace. Úpravy se týkají převážně modernizace elektroinstalace, nábytku, doplnění učebních pomůcek atd. (konkrétně viz projektová dokumentace)</w:t>
          </w:r>
        </w:p>
        <w:p>
          <w:pPr>
            <w:pStyle w:val="ListParagraph"/>
            <w:ind w:left="1211" w:hanging="0"/>
            <w:jc w:val="both"/>
            <w:rPr/>
          </w:pPr>
          <w:r>
            <w:rPr/>
          </w:r>
        </w:p>
        <w:p>
          <w:pPr>
            <w:pStyle w:val="ListParagraph"/>
            <w:numPr>
              <w:ilvl w:val="0"/>
              <w:numId w:val="3"/>
            </w:numPr>
            <w:jc w:val="both"/>
            <w:rPr>
              <w:b/>
              <w:b/>
            </w:rPr>
          </w:pPr>
          <w:r>
            <w:rPr>
              <w:b/>
            </w:rPr>
            <w:t>základní kapacity funkčních jednotek</w:t>
          </w:r>
        </w:p>
        <w:p>
          <w:pPr>
            <w:pStyle w:val="Normal"/>
            <w:jc w:val="both"/>
            <w:rPr>
              <w:u w:val="single"/>
            </w:rPr>
          </w:pPr>
          <w:r>
            <w:rPr>
              <w:u w:val="single"/>
            </w:rPr>
          </w:r>
        </w:p>
        <w:p>
          <w:pPr>
            <w:pStyle w:val="Normal"/>
            <w:ind w:firstLine="708"/>
            <w:rPr>
              <w:u w:val="single"/>
            </w:rPr>
          </w:pPr>
          <w:r>
            <w:rPr>
              <w:u w:val="single"/>
            </w:rPr>
            <w:t>Přístavba výtahové šachty:</w:t>
          </w:r>
        </w:p>
        <w:p>
          <w:pPr>
            <w:pStyle w:val="Normal"/>
            <w:ind w:left="708" w:hanging="0"/>
            <w:rPr>
              <w:vertAlign w:val="superscript"/>
            </w:rPr>
          </w:pPr>
          <w:r>
            <w:rPr/>
            <w:t>Zastavěná plocha 3,87 m</w:t>
          </w:r>
          <w:r>
            <w:rPr>
              <w:vertAlign w:val="superscript"/>
            </w:rPr>
            <w:t>2</w:t>
          </w:r>
        </w:p>
        <w:p>
          <w:pPr>
            <w:pStyle w:val="Normal"/>
            <w:ind w:left="708" w:hanging="0"/>
            <w:rPr/>
          </w:pPr>
          <w:r>
            <w:rPr/>
            <w:t>Obestavěný prostor 90 m</w:t>
          </w:r>
          <w:r>
            <w:rPr>
              <w:vertAlign w:val="superscript"/>
            </w:rPr>
            <w:t>3</w:t>
          </w:r>
        </w:p>
        <w:p>
          <w:pPr>
            <w:pStyle w:val="Normal"/>
            <w:ind w:firstLine="708"/>
            <w:rPr/>
          </w:pPr>
          <w:r>
            <w:rPr/>
            <w:t>Počet pater 5 nástupních rovin</w:t>
          </w:r>
        </w:p>
        <w:p>
          <w:pPr>
            <w:pStyle w:val="ListParagraph"/>
            <w:ind w:left="567" w:hanging="0"/>
            <w:jc w:val="both"/>
            <w:rPr/>
          </w:pPr>
          <w:r>
            <w:rPr/>
          </w:r>
        </w:p>
        <w:p>
          <w:pPr>
            <w:pStyle w:val="ListParagraph"/>
            <w:numPr>
              <w:ilvl w:val="0"/>
              <w:numId w:val="3"/>
            </w:numPr>
            <w:jc w:val="both"/>
            <w:rPr/>
          </w:pPr>
          <w:r>
            <w:rPr>
              <w:b/>
            </w:rPr>
            <w:t>maximální produkovaná množství a druhy odpadů a emisí a způsob nakládání s nimi</w:t>
          </w:r>
        </w:p>
        <w:p>
          <w:pPr>
            <w:pStyle w:val="Normal"/>
            <w:ind w:left="1211" w:firstLine="205"/>
            <w:jc w:val="both"/>
            <w:rPr>
              <w:szCs w:val="20"/>
            </w:rPr>
          </w:pPr>
          <w:r>
            <w:rPr>
              <w:szCs w:val="20"/>
            </w:rPr>
            <w:t>Odpady a způsob jejich likvidace během provádění stavby jsou ve formě tabulek zařazeny v následující části tohoto textu.</w:t>
          </w:r>
        </w:p>
        <w:p>
          <w:pPr>
            <w:pStyle w:val="Normal"/>
            <w:ind w:left="1211" w:firstLine="205"/>
            <w:jc w:val="both"/>
            <w:rPr>
              <w:szCs w:val="20"/>
            </w:rPr>
          </w:pPr>
          <w:r>
            <w:rPr>
              <w:szCs w:val="20"/>
            </w:rPr>
            <w:t>Vzhledem ke kategorizaci odpadů (vyhláška MŽP. 381/2001 Sb. ve znění vyhlášky 503/2004 Sb.) je možno odpady rozdělit na odpady vzniklé během stavby a na odpady vznikající během vlastního provozu stavby.</w:t>
          </w:r>
        </w:p>
        <w:p>
          <w:pPr>
            <w:pStyle w:val="Normal"/>
            <w:jc w:val="both"/>
            <w:rPr>
              <w:sz w:val="24"/>
            </w:rPr>
          </w:pPr>
          <w:r>
            <w:rPr>
              <w:sz w:val="24"/>
            </w:rPr>
          </w:r>
        </w:p>
        <w:p>
          <w:pPr>
            <w:pStyle w:val="Normal"/>
            <w:jc w:val="both"/>
            <w:rPr/>
          </w:pPr>
          <w:r>
            <w:rPr/>
            <w:t>Odpady během stavby</w:t>
          </w:r>
        </w:p>
        <w:p>
          <w:pPr>
            <w:pStyle w:val="Normal"/>
            <w:jc w:val="both"/>
            <w:rPr>
              <w:rFonts w:ascii="Bookman Old Style" w:hAnsi="Bookman Old Style"/>
              <w:b/>
              <w:b/>
            </w:rPr>
          </w:pPr>
          <w:r>
            <w:rPr>
              <w:rFonts w:ascii="Bookman Old Style" w:hAnsi="Bookman Old Style"/>
              <w:b/>
            </w:rPr>
          </w:r>
        </w:p>
      </w:sdtContent>
    </w:sdt>
    <w:tbl>
      <w:tblPr>
        <w:tblW w:w="9672" w:type="dxa"/>
        <w:jc w:val="left"/>
        <w:tblInd w:w="-26"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top w:w="0" w:type="dxa"/>
          <w:left w:w="68" w:type="dxa"/>
          <w:bottom w:w="0" w:type="dxa"/>
          <w:right w:w="0" w:type="dxa"/>
        </w:tblCellMar>
        <w:tblLook w:val="0000"/>
      </w:tblPr>
      <w:tblGrid>
        <w:gridCol w:w="1540"/>
        <w:gridCol w:w="1275"/>
        <w:gridCol w:w="4265"/>
        <w:gridCol w:w="2591"/>
      </w:tblGrid>
      <w:tr>
        <w:trPr/>
        <w:tc>
          <w:tcPr>
            <w:tcW w:w="1540" w:type="dxa"/>
            <w:tc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cBorders>
            <w:shd w:color="auto" w:fill="D9D9D9" w:themeFill="background1" w:themeFillShade="d9" w:val="clear"/>
            <w:tcMar>
              <w:left w:w="68" w:type="dxa"/>
            </w:tcMar>
          </w:tcPr>
          <w:p>
            <w:pPr>
              <w:pStyle w:val="Normal"/>
              <w:jc w:val="both"/>
              <w:rPr/>
            </w:pPr>
            <w:r>
              <w:rPr/>
              <w:t xml:space="preserve"> </w:t>
            </w:r>
            <w:r>
              <w:rPr/>
              <w:t>KÓD ODPADU</w:t>
            </w:r>
          </w:p>
        </w:tc>
        <w:tc>
          <w:tcPr>
            <w:tcW w:w="1275" w:type="dxa"/>
            <w:tc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cBorders>
            <w:shd w:color="auto" w:fill="D9D9D9" w:themeFill="background1" w:themeFillShade="d9" w:val="clear"/>
            <w:tcMar>
              <w:left w:w="68" w:type="dxa"/>
            </w:tcMar>
            <w:vAlign w:val="center"/>
          </w:tcPr>
          <w:p>
            <w:pPr>
              <w:pStyle w:val="Normal"/>
              <w:jc w:val="both"/>
              <w:rPr/>
            </w:pPr>
            <w:r>
              <w:rPr/>
              <w:t>KATEGORIE</w:t>
            </w:r>
          </w:p>
        </w:tc>
        <w:tc>
          <w:tcPr>
            <w:tcW w:w="4265" w:type="dxa"/>
            <w:tc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cBorders>
            <w:shd w:color="auto" w:fill="D9D9D9" w:themeFill="background1" w:themeFillShade="d9" w:val="clear"/>
            <w:tcMar>
              <w:left w:w="68" w:type="dxa"/>
            </w:tcMar>
          </w:tcPr>
          <w:p>
            <w:pPr>
              <w:pStyle w:val="Normal"/>
              <w:jc w:val="both"/>
              <w:rPr/>
            </w:pPr>
            <w:r>
              <w:rPr/>
              <w:t>NÁZEV DRUHU ODPADU</w:t>
            </w:r>
          </w:p>
        </w:tc>
        <w:tc>
          <w:tcPr>
            <w:tcW w:w="2591" w:type="dxa"/>
            <w:tc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cBorders>
            <w:shd w:color="auto" w:fill="D9D9D9" w:themeFill="background1" w:themeFillShade="d9" w:val="clear"/>
            <w:tcMar>
              <w:left w:w="68" w:type="dxa"/>
            </w:tcMar>
          </w:tcPr>
          <w:p>
            <w:pPr>
              <w:pStyle w:val="Normal"/>
              <w:jc w:val="both"/>
              <w:rPr/>
            </w:pPr>
            <w:r>
              <w:rPr/>
              <w:t>ZPŮSOB NAKLÁDÁNÍ</w:t>
            </w:r>
          </w:p>
        </w:tc>
      </w:tr>
      <w:tr>
        <w:trPr/>
        <w:tc>
          <w:tcPr>
            <w:tcW w:w="1540"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themeFill="background1" w:themeFillShade="f2" w:val="clear"/>
            <w:tcMar>
              <w:left w:w="98" w:type="dxa"/>
            </w:tcMar>
          </w:tcPr>
          <w:p>
            <w:pPr>
              <w:pStyle w:val="Normal"/>
              <w:jc w:val="both"/>
              <w:rPr>
                <w:b/>
                <w:b/>
              </w:rPr>
            </w:pPr>
            <w:r>
              <w:rPr>
                <w:b/>
              </w:rPr>
              <w:t>15 01</w:t>
            </w:r>
          </w:p>
        </w:tc>
        <w:tc>
          <w:tcPr>
            <w:tcW w:w="1275"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themeFill="background1" w:themeFillShade="f2" w:val="clear"/>
            <w:tcMar>
              <w:left w:w="98" w:type="dxa"/>
            </w:tcMar>
            <w:vAlign w:val="center"/>
          </w:tcPr>
          <w:p>
            <w:pPr>
              <w:pStyle w:val="Normal"/>
              <w:jc w:val="both"/>
              <w:rPr>
                <w:b/>
                <w:b/>
              </w:rPr>
            </w:pPr>
            <w:r>
              <w:rPr>
                <w:b/>
              </w:rPr>
              <w:t>O</w:t>
            </w:r>
          </w:p>
        </w:tc>
        <w:tc>
          <w:tcPr>
            <w:tcW w:w="4265"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themeFill="background1" w:themeFillShade="f2" w:val="clear"/>
            <w:tcMar>
              <w:left w:w="98" w:type="dxa"/>
            </w:tcMar>
          </w:tcPr>
          <w:p>
            <w:pPr>
              <w:pStyle w:val="Normal"/>
              <w:jc w:val="both"/>
              <w:rPr>
                <w:b/>
                <w:b/>
              </w:rPr>
            </w:pPr>
            <w:r>
              <w:rPr>
                <w:b/>
              </w:rPr>
              <w:t>Obaly (včetně odděleně sbíraného komunálního obalového odpadu)</w:t>
            </w:r>
          </w:p>
        </w:tc>
        <w:tc>
          <w:tcPr>
            <w:tcW w:w="2591" w:type="dxa"/>
            <w:tcBorders>
              <w:top w:val="single" w:sz="12"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themeFill="background1" w:themeFillShade="f2" w:val="clear"/>
            <w:tcMar>
              <w:left w:w="98" w:type="dxa"/>
            </w:tcMar>
          </w:tcPr>
          <w:p>
            <w:pPr>
              <w:pStyle w:val="Normal"/>
              <w:jc w:val="both"/>
              <w:rPr/>
            </w:pPr>
            <w:r>
              <w:rPr/>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15 01 01</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Papírové a lepenkové obaly</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Sběrné suroviny</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15 01 02</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Plastové obaly</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Specializovaná firma</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15 01 03</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Dřevěné obaly</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Skládka, event. znovuvyužití</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15 01 04</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Kovové obaly</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Sběrné suroviny</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15 01 07</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Skleněné obaly</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Skládka, event. recyklace</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themeFill="background1" w:themeFillShade="f2" w:val="clear"/>
            <w:tcMar>
              <w:left w:w="98" w:type="dxa"/>
            </w:tcMar>
          </w:tcPr>
          <w:p>
            <w:pPr>
              <w:pStyle w:val="Normal"/>
              <w:jc w:val="both"/>
              <w:rPr>
                <w:b/>
                <w:b/>
              </w:rPr>
            </w:pPr>
            <w:r>
              <w:rPr>
                <w:b/>
              </w:rPr>
              <w:t>17</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themeFill="background1" w:themeFillShade="f2" w:val="clear"/>
            <w:tcMar>
              <w:left w:w="98" w:type="dxa"/>
            </w:tcMar>
            <w:vAlign w:val="center"/>
          </w:tcPr>
          <w:p>
            <w:pPr>
              <w:pStyle w:val="Normal"/>
              <w:jc w:val="both"/>
              <w:rPr>
                <w:b/>
                <w:b/>
              </w:rPr>
            </w:pPr>
            <w:r>
              <w:rPr>
                <w:b/>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themeFill="background1" w:themeFillShade="f2" w:val="clear"/>
            <w:tcMar>
              <w:left w:w="98" w:type="dxa"/>
            </w:tcMar>
          </w:tcPr>
          <w:p>
            <w:pPr>
              <w:pStyle w:val="Normal"/>
              <w:jc w:val="both"/>
              <w:rPr>
                <w:b/>
                <w:b/>
              </w:rPr>
            </w:pPr>
            <w:r>
              <w:rPr>
                <w:b/>
              </w:rPr>
              <w:t xml:space="preserve">Stavební a demoliční odpady </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themeFill="background1" w:themeFillShade="f2" w:val="clear"/>
            <w:tcMar>
              <w:left w:w="98" w:type="dxa"/>
            </w:tcMar>
          </w:tcPr>
          <w:p>
            <w:pPr>
              <w:pStyle w:val="Normal"/>
              <w:jc w:val="both"/>
              <w:rPr/>
            </w:pPr>
            <w:r>
              <w:rPr/>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17 01 01</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Beton</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Skládka, event. recyklace</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17 01 02</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Cihly</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Skládka, event. recyklace</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17 01 03</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Tašky a keramické výrobky</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Skládka, event. recyklace</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17 01 06</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N</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Směsi nebo oddělené frakce betonu, cihel, tašek a keramických výrobků obsahující nebezpečné látky</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Specializovaná firma</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17 01 07</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Směsi nebo oddělené frakce betonu, cihel, tašek a keramických výrobků neuvedené pod číslem 17 01 06</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Skládka, event. recyklace</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17 02 01</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Dřevo</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Skládka, event. znovuvyužití</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17 02 02</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Sklo</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Specializovaná firma</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17 02 03</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Plasty</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Specializovaná firma</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17 03 01</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N</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Asfaltové směsi obsahující dehet</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Specializovaná firma</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17 04 01</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Měď, bronz, mosaz</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Sběrné suroviny</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17 04 02</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Hliník</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Sběrné suroviny</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17 04 03</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Olovo</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Sběrné suroviny</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17 04 04</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Zinek</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Sběrné suroviny</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17 04 05</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Železo a ocel</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Sběrné suroviny</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17 04 10</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N</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Kabely obsahující ropné látky, uhelný dehet a jiné nebezpečné látky</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Specializovaná firma</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17 04 11</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Kabely neuvedené pod 17 04 10</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Specializovaná firma</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17 08 02</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 xml:space="preserve">Stavební materiály na bázi sádry </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Skládka</w:t>
            </w:r>
          </w:p>
        </w:tc>
      </w:tr>
      <w:tr>
        <w:trPr/>
        <w:tc>
          <w:tcPr>
            <w:tcW w:w="154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17 09 04</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vAlign w:val="center"/>
          </w:tcPr>
          <w:p>
            <w:pPr>
              <w:pStyle w:val="Normal"/>
              <w:jc w:val="both"/>
              <w:rPr/>
            </w:pPr>
            <w:r>
              <w:rPr/>
              <w:t>O</w:t>
            </w:r>
          </w:p>
        </w:tc>
        <w:tc>
          <w:tcPr>
            <w:tcW w:w="426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 xml:space="preserve">Směsné stavební a demoliční odpady </w:t>
            </w:r>
          </w:p>
        </w:tc>
        <w:tc>
          <w:tcPr>
            <w:tcW w:w="259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98" w:type="dxa"/>
            </w:tcMar>
          </w:tcPr>
          <w:p>
            <w:pPr>
              <w:pStyle w:val="Normal"/>
              <w:jc w:val="both"/>
              <w:rPr/>
            </w:pPr>
            <w:r>
              <w:rPr/>
              <w:t>Skládka</w:t>
            </w:r>
          </w:p>
        </w:tc>
      </w:tr>
    </w:tbl>
    <w:p>
      <w:pPr>
        <w:pStyle w:val="Normal"/>
        <w:ind w:firstLine="708"/>
        <w:jc w:val="both"/>
        <w:rPr>
          <w:rFonts w:ascii="Bookman Old Style" w:hAnsi="Bookman Old Style" w:cs="Bookman Old Style"/>
        </w:rPr>
      </w:pPr>
      <w:r>
        <w:rPr>
          <w:rFonts w:cs="Bookman Old Style" w:ascii="Bookman Old Style" w:hAnsi="Bookman Old Style"/>
        </w:rPr>
      </w:r>
    </w:p>
    <w:p>
      <w:pPr>
        <w:pStyle w:val="Normal"/>
        <w:ind w:left="708" w:firstLine="708"/>
        <w:jc w:val="both"/>
        <w:rPr/>
      </w:pPr>
      <w:r>
        <w:rPr/>
        <w:t>V objektu během užívání stavby bude vznikat pouze komunální odpad. Majitel objektu uzavře smlouvu se specializovanou firmou. Kontejnery budou umístěny na pozemku investora.</w:t>
      </w:r>
    </w:p>
    <w:p>
      <w:pPr>
        <w:pStyle w:val="Normal"/>
        <w:jc w:val="both"/>
        <w:rPr/>
      </w:pPr>
      <w:r>
        <w:rPr/>
      </w:r>
    </w:p>
    <w:p>
      <w:pPr>
        <w:pStyle w:val="Nadpis2"/>
        <w:numPr>
          <w:ilvl w:val="2"/>
          <w:numId w:val="1"/>
        </w:numPr>
        <w:jc w:val="both"/>
        <w:rPr/>
      </w:pPr>
      <w:bookmarkStart w:id="8" w:name="_Toc479276021"/>
      <w:bookmarkStart w:id="9" w:name="_Toc471819874"/>
      <w:bookmarkEnd w:id="8"/>
      <w:bookmarkEnd w:id="9"/>
      <w:r>
        <w:rPr/>
        <w:t>Celkové urbanistické a architektonické řešení</w:t>
      </w:r>
    </w:p>
    <w:p>
      <w:pPr>
        <w:pStyle w:val="ListParagraph"/>
        <w:numPr>
          <w:ilvl w:val="0"/>
          <w:numId w:val="4"/>
        </w:numPr>
        <w:jc w:val="both"/>
        <w:rPr>
          <w:b/>
          <w:b/>
        </w:rPr>
      </w:pPr>
      <w:r>
        <w:rPr>
          <w:b/>
        </w:rPr>
        <w:t>urbanismus – územní regulace, kompozice prostorového řešení</w:t>
      </w:r>
    </w:p>
    <w:p>
      <w:pPr>
        <w:pStyle w:val="Normal"/>
        <w:ind w:left="708" w:firstLine="708"/>
        <w:jc w:val="both"/>
        <w:rPr/>
      </w:pPr>
      <w:r>
        <w:rPr/>
        <w:t>Stavba je v souladu s územním plánem města Plzeň.</w:t>
      </w:r>
    </w:p>
    <w:p>
      <w:pPr>
        <w:pStyle w:val="Normal"/>
        <w:ind w:left="1211" w:hanging="0"/>
        <w:jc w:val="both"/>
        <w:rPr/>
      </w:pPr>
      <w:r>
        <w:rPr/>
        <w:t xml:space="preserve">Přístavba se nachází na dvoře obchodní akademie Plzeň. </w:t>
      </w:r>
    </w:p>
    <w:p>
      <w:pPr>
        <w:pStyle w:val="Normal"/>
        <w:jc w:val="both"/>
        <w:rPr/>
      </w:pPr>
      <w:r>
        <w:rPr/>
      </w:r>
    </w:p>
    <w:p>
      <w:pPr>
        <w:pStyle w:val="ListParagraph"/>
        <w:numPr>
          <w:ilvl w:val="0"/>
          <w:numId w:val="4"/>
        </w:numPr>
        <w:jc w:val="both"/>
        <w:rPr>
          <w:b/>
          <w:b/>
        </w:rPr>
      </w:pPr>
      <w:r>
        <w:rPr>
          <w:b/>
        </w:rPr>
        <w:t>architektonické řešení – kompozice tvarového řešení, materiálové a barevné řešení</w:t>
      </w:r>
    </w:p>
    <w:p>
      <w:pPr>
        <w:pStyle w:val="Normal"/>
        <w:ind w:left="503" w:firstLine="708"/>
        <w:jc w:val="both"/>
        <w:rPr>
          <w:u w:val="single"/>
        </w:rPr>
      </w:pPr>
      <w:r>
        <w:rPr>
          <w:u w:val="single"/>
        </w:rPr>
        <w:t>Architektonické řešení:</w:t>
      </w:r>
    </w:p>
    <w:p>
      <w:pPr>
        <w:pStyle w:val="Normal"/>
        <w:ind w:left="1211" w:firstLine="205"/>
        <w:jc w:val="both"/>
        <w:rPr/>
      </w:pPr>
      <w:r>
        <w:rPr/>
        <w:t>Přístavba výtahu je navržena jako pětipodlažní, obdélníkového půdorysu. Zastřešení šachty je navrženo pultovou střechou. Výtah je navržený s nosnou konstrukcí z oceli a opláštěný sklem, tak aby stále byl průhled na historickou fasádu objektu.</w:t>
      </w:r>
    </w:p>
    <w:p>
      <w:pPr>
        <w:pStyle w:val="Normal"/>
        <w:ind w:left="1211" w:firstLine="205"/>
        <w:jc w:val="both"/>
        <w:rPr/>
      </w:pPr>
      <w:r>
        <w:rPr/>
        <w:t xml:space="preserve">Toto řešení respektuje objemovou hmotu a výšku stávajícího objektu školy. </w:t>
      </w:r>
    </w:p>
    <w:p>
      <w:pPr>
        <w:pStyle w:val="Normal"/>
        <w:jc w:val="both"/>
        <w:rPr/>
      </w:pPr>
      <w:r>
        <w:rPr/>
      </w:r>
    </w:p>
    <w:p>
      <w:pPr>
        <w:pStyle w:val="Normal"/>
        <w:jc w:val="both"/>
        <w:rPr/>
      </w:pPr>
      <w:r>
        <w:rPr/>
      </w:r>
    </w:p>
    <w:p>
      <w:pPr>
        <w:pStyle w:val="Normal"/>
        <w:ind w:left="503" w:firstLine="708"/>
        <w:jc w:val="both"/>
        <w:rPr>
          <w:u w:val="single"/>
        </w:rPr>
      </w:pPr>
      <w:r>
        <w:rPr>
          <w:u w:val="single"/>
        </w:rPr>
        <w:t>Výtvarné řešení:</w:t>
      </w:r>
    </w:p>
    <w:p>
      <w:pPr>
        <w:pStyle w:val="Normal"/>
        <w:ind w:left="1211" w:firstLine="205"/>
        <w:jc w:val="both"/>
        <w:rPr/>
      </w:pPr>
      <w:r>
        <w:rPr/>
        <w:t xml:space="preserve">Jedná se o výtah prosklený, tzn. že nosná konstrukce je ocelová a opláštěná sklem, tak aby skrz přístavbu výtahu zůstal průhled na fasádu objektu. </w:t>
      </w:r>
    </w:p>
    <w:p>
      <w:pPr>
        <w:pStyle w:val="Normal"/>
        <w:ind w:left="1211" w:firstLine="205"/>
        <w:jc w:val="both"/>
        <w:rPr/>
      </w:pPr>
      <w:r>
        <w:rPr/>
      </w:r>
    </w:p>
    <w:p>
      <w:pPr>
        <w:pStyle w:val="Nadpis2"/>
        <w:numPr>
          <w:ilvl w:val="2"/>
          <w:numId w:val="1"/>
        </w:numPr>
        <w:jc w:val="both"/>
        <w:rPr/>
      </w:pPr>
      <w:bookmarkStart w:id="10" w:name="_Toc479276022"/>
      <w:bookmarkStart w:id="11" w:name="_Toc471819875"/>
      <w:bookmarkEnd w:id="10"/>
      <w:bookmarkEnd w:id="11"/>
      <w:r>
        <w:rPr/>
        <w:t>Celkové provozní řešení, technologie výroby</w:t>
      </w:r>
    </w:p>
    <w:p>
      <w:pPr>
        <w:pStyle w:val="Normal"/>
        <w:ind w:left="708" w:firstLine="708"/>
        <w:jc w:val="both"/>
        <w:rPr/>
      </w:pPr>
      <w:r>
        <w:rPr/>
        <w:t>Netýká se uvedené stavby.</w:t>
      </w:r>
    </w:p>
    <w:p>
      <w:pPr>
        <w:pStyle w:val="Normal"/>
        <w:ind w:left="708" w:firstLine="708"/>
        <w:jc w:val="both"/>
        <w:rPr/>
      </w:pPr>
      <w:r>
        <w:rPr/>
      </w:r>
    </w:p>
    <w:p>
      <w:pPr>
        <w:pStyle w:val="Nadpis2"/>
        <w:numPr>
          <w:ilvl w:val="2"/>
          <w:numId w:val="1"/>
        </w:numPr>
        <w:jc w:val="both"/>
        <w:rPr/>
      </w:pPr>
      <w:bookmarkStart w:id="12" w:name="_Toc479276023"/>
      <w:bookmarkStart w:id="13" w:name="_Toc471819876"/>
      <w:bookmarkEnd w:id="12"/>
      <w:bookmarkEnd w:id="13"/>
      <w:r>
        <w:rPr/>
        <w:t>Bezbariérové užívání stavby</w:t>
      </w:r>
    </w:p>
    <w:p>
      <w:pPr>
        <w:pStyle w:val="Normal"/>
        <w:ind w:left="708" w:firstLine="708"/>
        <w:jc w:val="both"/>
        <w:rPr/>
      </w:pPr>
      <w:r>
        <w:rPr/>
        <w:t>Objekt je řešen v souladu s požadavky vyhlášky č.398/2009 Sb., kterou se stanoví obecné technické požadavky zabezpečující užívání staveb osobami s omezenou schopností pohybu a orientace.</w:t>
      </w:r>
    </w:p>
    <w:p>
      <w:pPr>
        <w:pStyle w:val="Normal"/>
        <w:ind w:left="708" w:firstLine="708"/>
        <w:jc w:val="both"/>
        <w:rPr/>
      </w:pPr>
      <w:r>
        <w:rPr/>
        <w:t>Přístavbou výtahu se obchodní akademii zajistí bezbariérový přístup do všech nadzemních pater. Přístup k výtahu je navržen ze dvora akademie. Výtahová šachta je umístěna při severní straně fasády.</w:t>
      </w:r>
    </w:p>
    <w:p>
      <w:pPr>
        <w:pStyle w:val="Normal"/>
        <w:ind w:left="851" w:firstLine="565"/>
        <w:jc w:val="both"/>
        <w:rPr/>
      </w:pPr>
      <w:r>
        <w:rPr/>
      </w:r>
    </w:p>
    <w:p>
      <w:pPr>
        <w:pStyle w:val="Nadpis2"/>
        <w:numPr>
          <w:ilvl w:val="2"/>
          <w:numId w:val="1"/>
        </w:numPr>
        <w:jc w:val="both"/>
        <w:rPr/>
      </w:pPr>
      <w:bookmarkStart w:id="14" w:name="_Toc479276024"/>
      <w:bookmarkStart w:id="15" w:name="_Toc471819877"/>
      <w:bookmarkEnd w:id="14"/>
      <w:bookmarkEnd w:id="15"/>
      <w:r>
        <w:rPr/>
        <w:t>Bezpečnost při užívání stavby</w:t>
      </w:r>
    </w:p>
    <w:p>
      <w:pPr>
        <w:pStyle w:val="Normal"/>
        <w:ind w:left="1416" w:hanging="0"/>
        <w:jc w:val="both"/>
        <w:rPr/>
      </w:pPr>
      <w:r>
        <w:rPr/>
        <w:t>Vlastní návrh stavby je proveden v souladu s obecnými požadavky na stavby dle vyhl. č. 268/2009 Sb.</w:t>
      </w:r>
    </w:p>
    <w:p>
      <w:pPr>
        <w:pStyle w:val="Normal"/>
        <w:ind w:left="708" w:firstLine="708"/>
        <w:jc w:val="both"/>
        <w:rPr/>
      </w:pPr>
      <w:r>
        <w:rPr/>
        <w:t>Stavební provedení odpovídá zásadám a požadavkům na ochranu zdraví a bezpečnost osob při užívání objektu.</w:t>
      </w:r>
    </w:p>
    <w:p>
      <w:pPr>
        <w:pStyle w:val="Normal"/>
        <w:ind w:left="708" w:firstLine="708"/>
        <w:jc w:val="both"/>
        <w:rPr/>
      </w:pPr>
      <w:r>
        <w:rPr/>
      </w:r>
    </w:p>
    <w:p>
      <w:pPr>
        <w:pStyle w:val="Nadpis2"/>
        <w:numPr>
          <w:ilvl w:val="2"/>
          <w:numId w:val="1"/>
        </w:numPr>
        <w:jc w:val="both"/>
        <w:rPr/>
      </w:pPr>
      <w:bookmarkStart w:id="16" w:name="_Toc479276025"/>
      <w:bookmarkStart w:id="17" w:name="_Toc471819878"/>
      <w:bookmarkEnd w:id="16"/>
      <w:bookmarkEnd w:id="17"/>
      <w:r>
        <w:rPr/>
        <w:t>Základní technický popis staveb</w:t>
      </w:r>
    </w:p>
    <w:p>
      <w:pPr>
        <w:pStyle w:val="ListParagraph"/>
        <w:numPr>
          <w:ilvl w:val="0"/>
          <w:numId w:val="9"/>
        </w:numPr>
        <w:jc w:val="both"/>
        <w:rPr>
          <w:b/>
          <w:b/>
        </w:rPr>
      </w:pPr>
      <w:r>
        <w:rPr>
          <w:b/>
        </w:rPr>
        <w:t>stavební řešení</w:t>
      </w:r>
    </w:p>
    <w:p>
      <w:pPr>
        <w:pStyle w:val="Normal"/>
        <w:ind w:left="927" w:firstLine="489"/>
        <w:jc w:val="both"/>
        <w:rPr/>
      </w:pPr>
      <w:r>
        <w:rPr/>
        <w:t>Nosná konstrukce výtahové šachty je řešena jako montovaná ocelová, opláštěná sklem – jedná se o samostatnou dodávku. Hlavním nosným prvkem šachty jsou čtyři ocelové sloupy, které jsou po určitých úsecích provázány s ocelovými nosníky.</w:t>
      </w:r>
    </w:p>
    <w:p>
      <w:pPr>
        <w:pStyle w:val="Normal"/>
        <w:ind w:left="927" w:firstLine="489"/>
        <w:jc w:val="both"/>
        <w:rPr/>
      </w:pPr>
      <w:r>
        <w:rPr/>
        <w:t xml:space="preserve">Založení šachty je navrženo na železobetonové „bílé“ vaně, která je navržená jako voděodolná. </w:t>
      </w:r>
    </w:p>
    <w:p>
      <w:pPr>
        <w:pStyle w:val="Normal"/>
        <w:ind w:left="927" w:hanging="0"/>
        <w:jc w:val="both"/>
        <w:rPr/>
      </w:pPr>
      <w:r>
        <w:rPr/>
      </w:r>
    </w:p>
    <w:p>
      <w:pPr>
        <w:pStyle w:val="ListParagraph"/>
        <w:numPr>
          <w:ilvl w:val="0"/>
          <w:numId w:val="9"/>
        </w:numPr>
        <w:jc w:val="both"/>
        <w:rPr>
          <w:b/>
          <w:b/>
        </w:rPr>
      </w:pPr>
      <w:r>
        <w:rPr>
          <w:b/>
        </w:rPr>
        <w:t>konstrukční a materiálové řešení</w:t>
      </w:r>
    </w:p>
    <w:p>
      <w:pPr>
        <w:pStyle w:val="ListParagraph"/>
        <w:ind w:left="927" w:firstLine="489"/>
        <w:jc w:val="both"/>
        <w:rPr/>
      </w:pPr>
      <w:r>
        <w:rPr/>
        <w:t xml:space="preserve">Založení je navrženo z železobetonové monolitické „bílé“ vany. </w:t>
      </w:r>
    </w:p>
    <w:p>
      <w:pPr>
        <w:pStyle w:val="Normal"/>
        <w:ind w:left="927" w:firstLine="489"/>
        <w:jc w:val="both"/>
        <w:rPr/>
      </w:pPr>
      <w:r>
        <w:rPr/>
        <w:t>Nosná nadzemní konstrukce výtahové šachty je řešena jako montovaná ocelová, opláštěná sklem – jedná se o samostatnou dodávku. Hlavním nosným prvkem šachty jsou čtyři ocelové sloupy, které jsou po určitých úsecích provázány s ocelovými nosníky.</w:t>
      </w:r>
    </w:p>
    <w:p>
      <w:pPr>
        <w:pStyle w:val="Normal"/>
        <w:ind w:left="708" w:firstLine="853"/>
        <w:jc w:val="both"/>
        <w:rPr/>
      </w:pPr>
      <w:r>
        <w:rPr/>
        <w:t>Při návrhu nosných konstrukcí stavby bylo pro stanovení užitných a klimatických zatížení použita ČSN 730035 v platném znění.</w:t>
      </w:r>
    </w:p>
    <w:p>
      <w:pPr>
        <w:pStyle w:val="Normal"/>
        <w:ind w:left="708" w:firstLine="853"/>
        <w:jc w:val="both"/>
        <w:rPr/>
      </w:pPr>
      <w:r>
        <w:rPr/>
        <w:t>Stavba je navržena za použití tradičních technologií zcela běžných v současné době na stavbách obdobného typu a rozsahu.</w:t>
      </w:r>
    </w:p>
    <w:p>
      <w:pPr>
        <w:pStyle w:val="Normal"/>
        <w:ind w:left="708" w:firstLine="853"/>
        <w:jc w:val="both"/>
        <w:rPr/>
      </w:pPr>
      <w:r>
        <w:rPr/>
        <w:t>Stavba je navržena v souladu s příslušnými normami a předpisy pro navrhování stavebních konstrukcí tak, aby při náležité údržbě byla zajištěna její stabilita po celou předpokládanou dobu životnosti (min 100 let).</w:t>
      </w:r>
    </w:p>
    <w:p>
      <w:pPr>
        <w:pStyle w:val="ListParagraph"/>
        <w:ind w:left="927" w:hanging="0"/>
        <w:jc w:val="both"/>
        <w:rPr>
          <w:b/>
          <w:b/>
        </w:rPr>
      </w:pPr>
      <w:r>
        <w:rPr>
          <w:b/>
        </w:rPr>
      </w:r>
    </w:p>
    <w:p>
      <w:pPr>
        <w:pStyle w:val="ListParagraph"/>
        <w:numPr>
          <w:ilvl w:val="0"/>
          <w:numId w:val="9"/>
        </w:numPr>
        <w:jc w:val="both"/>
        <w:rPr>
          <w:b/>
          <w:b/>
        </w:rPr>
      </w:pPr>
      <w:r>
        <w:rPr>
          <w:b/>
        </w:rPr>
        <w:t>mechanická odolnost a stabilita</w:t>
      </w:r>
    </w:p>
    <w:p>
      <w:pPr>
        <w:pStyle w:val="Normal"/>
        <w:ind w:left="567" w:firstLine="708"/>
        <w:jc w:val="both"/>
        <w:rPr/>
      </w:pPr>
      <w:r>
        <w:rPr/>
        <w:t xml:space="preserve">Stavba je navržena tak, aby zatížení na ní působící v průběhu výstavby a užívání nemělo za následek: zřícení stavby nebo její části, větší stupeň nepřípustného přetvoření, poškození jiných částí stavby nebo technických zařízení nebo instalovaného vybavení v důsledku většího přetvoření nosné konstrukce, poškození v případě, kdy je rozsah neúměrný původní příčině. </w:t>
      </w:r>
    </w:p>
    <w:p>
      <w:pPr>
        <w:pStyle w:val="Normal"/>
        <w:ind w:left="567" w:firstLine="708"/>
        <w:jc w:val="both"/>
        <w:rPr/>
      </w:pPr>
      <w:r>
        <w:rPr/>
        <w:t>Mechanická odolnost a stabilita stavebních konstrukcí, navržených v této projektové dokumentaci, je zhodnocena v části D.1.2 – Stavebně konstrukční část.</w:t>
      </w:r>
    </w:p>
    <w:p>
      <w:pPr>
        <w:pStyle w:val="Normal"/>
        <w:ind w:left="567" w:firstLine="708"/>
        <w:jc w:val="both"/>
        <w:rPr/>
      </w:pPr>
      <w:r>
        <w:rPr/>
      </w:r>
    </w:p>
    <w:p>
      <w:pPr>
        <w:pStyle w:val="Nadpis2"/>
        <w:numPr>
          <w:ilvl w:val="2"/>
          <w:numId w:val="1"/>
        </w:numPr>
        <w:jc w:val="both"/>
        <w:rPr/>
      </w:pPr>
      <w:bookmarkStart w:id="18" w:name="_Toc479276026"/>
      <w:bookmarkStart w:id="19" w:name="_Toc471819879"/>
      <w:bookmarkEnd w:id="18"/>
      <w:bookmarkEnd w:id="19"/>
      <w:r>
        <w:rPr/>
        <w:t>Základní charakteristika technických a technologických zařízení</w:t>
      </w:r>
    </w:p>
    <w:p>
      <w:pPr>
        <w:pStyle w:val="ListParagraph"/>
        <w:numPr>
          <w:ilvl w:val="0"/>
          <w:numId w:val="5"/>
        </w:numPr>
        <w:jc w:val="both"/>
        <w:rPr>
          <w:b/>
          <w:b/>
        </w:rPr>
      </w:pPr>
      <w:r>
        <w:rPr>
          <w:b/>
        </w:rPr>
        <w:t>technické řešení</w:t>
      </w:r>
    </w:p>
    <w:p>
      <w:pPr>
        <w:pStyle w:val="Normal"/>
        <w:ind w:left="360" w:firstLine="708"/>
        <w:jc w:val="both"/>
        <w:rPr/>
      </w:pPr>
      <w:r>
        <w:rPr/>
        <w:t>V rámci stavebních úprav budou v objektu provedeny nové silnoproudé rozvody zajišťující provoz výtahu a nově bude provedena modernizace stávajících učeben a kabinetů, kde budou doplněny silnoproudé a slaboproudé rozvody dle zadání.</w:t>
      </w:r>
    </w:p>
    <w:p>
      <w:pPr>
        <w:pStyle w:val="Normal"/>
        <w:jc w:val="both"/>
        <w:rPr/>
      </w:pPr>
      <w:r>
        <w:rPr/>
      </w:r>
    </w:p>
    <w:p>
      <w:pPr>
        <w:pStyle w:val="ListParagraph"/>
        <w:numPr>
          <w:ilvl w:val="0"/>
          <w:numId w:val="5"/>
        </w:numPr>
        <w:jc w:val="both"/>
        <w:rPr>
          <w:b/>
          <w:b/>
        </w:rPr>
      </w:pPr>
      <w:r>
        <w:rPr>
          <w:b/>
        </w:rPr>
        <w:t>výčet technických a technologických zařízení</w:t>
      </w:r>
    </w:p>
    <w:p>
      <w:pPr>
        <w:pStyle w:val="Normal"/>
        <w:ind w:left="360" w:firstLine="708"/>
        <w:jc w:val="both"/>
        <w:rPr/>
      </w:pPr>
      <w:r>
        <w:rPr/>
        <w:t>V rámci této dokumentace je navržena nová výtahová šachta vybavená novým výtahem. Výtahová šachta je řešena v samostatné části dokumentace a bude dodána jako celek vybranou firmou.</w:t>
      </w:r>
    </w:p>
    <w:p>
      <w:pPr>
        <w:pStyle w:val="Normal"/>
        <w:ind w:left="360" w:firstLine="708"/>
        <w:jc w:val="both"/>
        <w:rPr/>
      </w:pPr>
      <w:r>
        <w:rPr/>
      </w:r>
    </w:p>
    <w:p>
      <w:pPr>
        <w:pStyle w:val="Nadpis2"/>
        <w:numPr>
          <w:ilvl w:val="2"/>
          <w:numId w:val="1"/>
        </w:numPr>
        <w:jc w:val="both"/>
        <w:rPr/>
      </w:pPr>
      <w:bookmarkStart w:id="20" w:name="_Toc479276027"/>
      <w:bookmarkStart w:id="21" w:name="_Toc471819880"/>
      <w:bookmarkEnd w:id="20"/>
      <w:bookmarkEnd w:id="21"/>
      <w:r>
        <w:rPr/>
        <w:t>Požárně bezpečnostní řešení</w:t>
      </w:r>
    </w:p>
    <w:p>
      <w:pPr>
        <w:pStyle w:val="Normal"/>
        <w:ind w:left="708" w:firstLine="712"/>
        <w:jc w:val="both"/>
        <w:rPr/>
      </w:pPr>
      <w:r>
        <w:rPr/>
        <w:t>Požárně bezpečnostní řešení stavby je uvedeno v samostatné požární zprávě, zpracované autorizovaným požárním specialistou. Požární zpráva je nedílnou součástí projektu a je přílohou této zprávy.</w:t>
      </w:r>
    </w:p>
    <w:p>
      <w:pPr>
        <w:pStyle w:val="Normal"/>
        <w:jc w:val="both"/>
        <w:rPr/>
      </w:pPr>
      <w:r>
        <w:rPr/>
      </w:r>
    </w:p>
    <w:p>
      <w:pPr>
        <w:pStyle w:val="ListParagraph"/>
        <w:numPr>
          <w:ilvl w:val="0"/>
          <w:numId w:val="6"/>
        </w:numPr>
        <w:jc w:val="both"/>
        <w:rPr>
          <w:b/>
          <w:b/>
        </w:rPr>
      </w:pPr>
      <w:r>
        <w:rPr>
          <w:b/>
        </w:rPr>
        <w:t>rozdělení stavby a objektů do požárních úseků</w:t>
      </w:r>
    </w:p>
    <w:p>
      <w:pPr>
        <w:pStyle w:val="ListParagraph"/>
        <w:numPr>
          <w:ilvl w:val="0"/>
          <w:numId w:val="6"/>
        </w:numPr>
        <w:jc w:val="both"/>
        <w:rPr>
          <w:b/>
          <w:b/>
        </w:rPr>
      </w:pPr>
      <w:r>
        <w:rPr>
          <w:b/>
        </w:rPr>
        <w:t>výpočet požárního rizika a stanovení stupně požární bezpečnosti</w:t>
      </w:r>
    </w:p>
    <w:p>
      <w:pPr>
        <w:pStyle w:val="ListParagraph"/>
        <w:numPr>
          <w:ilvl w:val="0"/>
          <w:numId w:val="6"/>
        </w:numPr>
        <w:jc w:val="both"/>
        <w:rPr>
          <w:b/>
          <w:b/>
        </w:rPr>
      </w:pPr>
      <w:r>
        <w:rPr>
          <w:b/>
        </w:rPr>
        <w:t>zhodnocení navržených stavebních konstrukcí a stavebních výrobků včetně požadavků na zvýšení požární odolnosti stavebních konstrukcí</w:t>
      </w:r>
      <w:bookmarkStart w:id="22" w:name="f5011656"/>
      <w:bookmarkEnd w:id="22"/>
      <w:r>
        <w:rPr>
          <w:rFonts w:cs="Bookman Old Style" w:ascii="Bookman Old Style" w:hAnsi="Bookman Old Style"/>
          <w:b/>
          <w:bCs/>
        </w:rPr>
        <w:t xml:space="preserve"> </w:t>
      </w:r>
    </w:p>
    <w:p>
      <w:pPr>
        <w:pStyle w:val="ListParagraph"/>
        <w:numPr>
          <w:ilvl w:val="0"/>
          <w:numId w:val="6"/>
        </w:numPr>
        <w:jc w:val="both"/>
        <w:rPr>
          <w:b/>
          <w:b/>
        </w:rPr>
      </w:pPr>
      <w:bookmarkStart w:id="23" w:name="f5011659"/>
      <w:bookmarkEnd w:id="23"/>
      <w:r>
        <w:rPr>
          <w:b/>
        </w:rPr>
        <w:t>zhodnocení evakuace osob včetně vyhodnocení únikových cest</w:t>
      </w:r>
    </w:p>
    <w:p>
      <w:pPr>
        <w:pStyle w:val="ListParagraph"/>
        <w:numPr>
          <w:ilvl w:val="0"/>
          <w:numId w:val="6"/>
        </w:numPr>
        <w:jc w:val="both"/>
        <w:rPr>
          <w:b/>
          <w:b/>
        </w:rPr>
      </w:pPr>
      <w:bookmarkStart w:id="24" w:name="f5011660"/>
      <w:bookmarkEnd w:id="24"/>
      <w:r>
        <w:rPr>
          <w:b/>
        </w:rPr>
        <w:t>zhodnocení odstupových vzdáleností a vymezení požárně nebezpečného prostoru</w:t>
      </w:r>
    </w:p>
    <w:p>
      <w:pPr>
        <w:pStyle w:val="ListParagraph"/>
        <w:numPr>
          <w:ilvl w:val="0"/>
          <w:numId w:val="6"/>
        </w:numPr>
        <w:jc w:val="both"/>
        <w:rPr>
          <w:b/>
          <w:b/>
        </w:rPr>
      </w:pPr>
      <w:bookmarkStart w:id="25" w:name="f5011661"/>
      <w:bookmarkEnd w:id="25"/>
      <w:r>
        <w:rPr>
          <w:b/>
        </w:rPr>
        <w:t>zajištění potřebného množství požární vody, popřípadě jiného hasiva, včetně rozmístění vnitřních a vnějších odběrných míst</w:t>
      </w:r>
    </w:p>
    <w:p>
      <w:pPr>
        <w:pStyle w:val="ListParagraph"/>
        <w:numPr>
          <w:ilvl w:val="0"/>
          <w:numId w:val="6"/>
        </w:numPr>
        <w:jc w:val="both"/>
        <w:rPr>
          <w:b/>
          <w:b/>
        </w:rPr>
      </w:pPr>
      <w:bookmarkStart w:id="26" w:name="f5011662"/>
      <w:bookmarkEnd w:id="26"/>
      <w:r>
        <w:rPr>
          <w:b/>
        </w:rPr>
        <w:t xml:space="preserve">zhodnocení možnosti provedení požárního zásahu (přístupové </w:t>
        <w:tab/>
        <w:t>komunikace, zásahové cesty)</w:t>
      </w:r>
    </w:p>
    <w:p>
      <w:pPr>
        <w:pStyle w:val="ListParagraph"/>
        <w:numPr>
          <w:ilvl w:val="0"/>
          <w:numId w:val="6"/>
        </w:numPr>
        <w:jc w:val="both"/>
        <w:rPr>
          <w:b/>
          <w:b/>
        </w:rPr>
      </w:pPr>
      <w:bookmarkStart w:id="27" w:name="f5011663"/>
      <w:bookmarkEnd w:id="27"/>
      <w:r>
        <w:rPr>
          <w:b/>
        </w:rPr>
        <w:t>zhodnocení technických a technologických zařízení stavby (rozvodná potrubí, vzduchotechnická zařízení)</w:t>
      </w:r>
    </w:p>
    <w:p>
      <w:pPr>
        <w:pStyle w:val="ListParagraph"/>
        <w:numPr>
          <w:ilvl w:val="0"/>
          <w:numId w:val="6"/>
        </w:numPr>
        <w:jc w:val="both"/>
        <w:rPr>
          <w:b/>
          <w:b/>
        </w:rPr>
      </w:pPr>
      <w:bookmarkStart w:id="28" w:name="f5011664"/>
      <w:bookmarkEnd w:id="28"/>
      <w:r>
        <w:rPr>
          <w:b/>
        </w:rPr>
        <w:t>posouzení požadavků na zabezpečení stavby požárně bezpečnostními zařízeními</w:t>
      </w:r>
    </w:p>
    <w:p>
      <w:pPr>
        <w:pStyle w:val="ListParagraph"/>
        <w:numPr>
          <w:ilvl w:val="0"/>
          <w:numId w:val="6"/>
        </w:numPr>
        <w:jc w:val="both"/>
        <w:rPr>
          <w:b/>
          <w:b/>
        </w:rPr>
      </w:pPr>
      <w:r>
        <w:rPr>
          <w:b/>
        </w:rPr>
        <w:t>rozsah a způsob rozmístění výstražných a bezpečnostních značek a tabulek</w:t>
      </w:r>
    </w:p>
    <w:p>
      <w:pPr>
        <w:pStyle w:val="ListParagraph"/>
        <w:ind w:left="1068" w:hanging="0"/>
        <w:jc w:val="both"/>
        <w:rPr>
          <w:b/>
          <w:b/>
        </w:rPr>
      </w:pPr>
      <w:r>
        <w:rPr>
          <w:b/>
        </w:rPr>
      </w:r>
    </w:p>
    <w:p>
      <w:pPr>
        <w:pStyle w:val="Normal"/>
        <w:jc w:val="both"/>
        <w:rPr/>
      </w:pPr>
      <w:r>
        <w:rPr/>
        <w:tab/>
        <w:t>Oddíly a) až j) jsou uvedeny v požárně bezpečnostním řešení stavby – viz příloha této zprávy.</w:t>
      </w:r>
    </w:p>
    <w:p>
      <w:pPr>
        <w:pStyle w:val="Nadpis2"/>
        <w:numPr>
          <w:ilvl w:val="2"/>
          <w:numId w:val="1"/>
        </w:numPr>
        <w:jc w:val="both"/>
        <w:rPr/>
      </w:pPr>
      <w:bookmarkStart w:id="29" w:name="_Toc479276028"/>
      <w:bookmarkStart w:id="30" w:name="f5011665"/>
      <w:bookmarkStart w:id="31" w:name="_Toc471819881"/>
      <w:bookmarkEnd w:id="29"/>
      <w:bookmarkEnd w:id="30"/>
      <w:bookmarkEnd w:id="31"/>
      <w:r>
        <w:rPr/>
        <w:t>Zásady hospodaření s energiemi</w:t>
      </w:r>
    </w:p>
    <w:p>
      <w:pPr>
        <w:pStyle w:val="ListParagraph"/>
        <w:numPr>
          <w:ilvl w:val="0"/>
          <w:numId w:val="7"/>
        </w:numPr>
        <w:jc w:val="both"/>
        <w:rPr>
          <w:b/>
          <w:b/>
        </w:rPr>
      </w:pPr>
      <w:r>
        <w:rPr>
          <w:b/>
        </w:rPr>
        <w:t>kritéria tepelně technického hodnocení</w:t>
      </w:r>
    </w:p>
    <w:p>
      <w:pPr>
        <w:pStyle w:val="Normal"/>
        <w:ind w:left="708" w:firstLine="708"/>
        <w:jc w:val="both"/>
        <w:rPr/>
      </w:pPr>
      <w:r>
        <w:rPr/>
        <w:t>Objekt je navržen podle ČSN 73 0540-3 v platném znění a souvisejících předpisů.</w:t>
      </w:r>
    </w:p>
    <w:p>
      <w:pPr>
        <w:pStyle w:val="Normal"/>
        <w:ind w:left="219" w:firstLine="708"/>
        <w:jc w:val="both"/>
        <w:rPr/>
      </w:pPr>
      <w:r>
        <w:rPr/>
      </w:r>
    </w:p>
    <w:p>
      <w:pPr>
        <w:pStyle w:val="ListParagraph"/>
        <w:numPr>
          <w:ilvl w:val="0"/>
          <w:numId w:val="7"/>
        </w:numPr>
        <w:jc w:val="both"/>
        <w:rPr/>
      </w:pPr>
      <w:r>
        <w:rPr>
          <w:b/>
        </w:rPr>
        <w:t>energetická náročnost stavby</w:t>
      </w:r>
    </w:p>
    <w:p>
      <w:pPr>
        <w:pStyle w:val="ListParagraph"/>
        <w:ind w:left="927" w:hanging="0"/>
        <w:jc w:val="both"/>
        <w:rPr/>
      </w:pPr>
      <w:r>
        <w:rPr/>
        <w:tab/>
        <w:t>Průkaz energetické náročnosti stavby není součástí této dokumentace, jedná se pouze o přístavbu výtahu a drobné stavební úpravy uvnitř stávající budovy.</w:t>
      </w:r>
    </w:p>
    <w:p>
      <w:pPr>
        <w:pStyle w:val="Normal"/>
        <w:jc w:val="both"/>
        <w:rPr>
          <w:b/>
          <w:b/>
        </w:rPr>
      </w:pPr>
      <w:r>
        <w:rPr>
          <w:b/>
        </w:rPr>
      </w:r>
    </w:p>
    <w:p>
      <w:pPr>
        <w:pStyle w:val="ListParagraph"/>
        <w:numPr>
          <w:ilvl w:val="0"/>
          <w:numId w:val="7"/>
        </w:numPr>
        <w:jc w:val="both"/>
        <w:rPr>
          <w:b/>
          <w:b/>
        </w:rPr>
      </w:pPr>
      <w:r>
        <w:rPr>
          <w:b/>
        </w:rPr>
        <w:t>posouzení využití alternativních zdrojů energie</w:t>
      </w:r>
    </w:p>
    <w:p>
      <w:pPr>
        <w:pStyle w:val="Normal"/>
        <w:ind w:left="567" w:firstLine="708"/>
        <w:jc w:val="both"/>
        <w:rPr/>
      </w:pPr>
      <w:r>
        <w:rPr/>
        <w:t>Z hlediska typu a velikosti objektu nejsou navrženy žádné alternativní zdroje energie.</w:t>
      </w:r>
    </w:p>
    <w:p>
      <w:pPr>
        <w:pStyle w:val="Normal"/>
        <w:ind w:left="567" w:firstLine="708"/>
        <w:jc w:val="both"/>
        <w:rPr/>
      </w:pPr>
      <w:r>
        <w:rPr/>
      </w:r>
    </w:p>
    <w:p>
      <w:pPr>
        <w:pStyle w:val="Nadpis2"/>
        <w:numPr>
          <w:ilvl w:val="2"/>
          <w:numId w:val="1"/>
        </w:numPr>
        <w:jc w:val="both"/>
        <w:rPr/>
      </w:pPr>
      <w:bookmarkStart w:id="32" w:name="_Toc479276029"/>
      <w:bookmarkStart w:id="33" w:name="_Toc471819882"/>
      <w:bookmarkEnd w:id="32"/>
      <w:bookmarkEnd w:id="33"/>
      <w:r>
        <w:rPr/>
        <w:t>Hygienické požadavky na stavby, požadavky na pracovní a komunální prostředí</w:t>
      </w:r>
    </w:p>
    <w:p>
      <w:pPr>
        <w:pStyle w:val="ListParagraph"/>
        <w:numPr>
          <w:ilvl w:val="0"/>
          <w:numId w:val="8"/>
        </w:numPr>
        <w:jc w:val="both"/>
        <w:rPr>
          <w:b/>
          <w:b/>
        </w:rPr>
      </w:pPr>
      <w:r>
        <w:rPr>
          <w:b/>
        </w:rPr>
        <w:t>větrání</w:t>
      </w:r>
    </w:p>
    <w:p>
      <w:pPr>
        <w:pStyle w:val="Normal"/>
        <w:ind w:left="219" w:firstLine="708"/>
        <w:jc w:val="both"/>
        <w:rPr/>
      </w:pPr>
      <w:r>
        <w:rPr/>
        <w:t>Odvětrání výtahové šachty bude řešeno v rámci dodávky vybrané firmy.</w:t>
      </w:r>
    </w:p>
    <w:p>
      <w:pPr>
        <w:pStyle w:val="Normal"/>
        <w:ind w:left="219" w:firstLine="708"/>
        <w:jc w:val="both"/>
        <w:rPr/>
      </w:pPr>
      <w:r>
        <w:rPr/>
        <w:t>Nově je řešeno elektrické větrání nové toalety pro osoby se sníženou schopností pohybu a orientace.</w:t>
      </w:r>
    </w:p>
    <w:p>
      <w:pPr>
        <w:pStyle w:val="Normal"/>
        <w:ind w:left="219" w:firstLine="708"/>
        <w:jc w:val="both"/>
        <w:rPr/>
      </w:pPr>
      <w:r>
        <w:rPr/>
        <w:t>Jiné větrání není v této PD řešeno.</w:t>
      </w:r>
    </w:p>
    <w:p>
      <w:pPr>
        <w:pStyle w:val="Normal"/>
        <w:jc w:val="both"/>
        <w:rPr/>
      </w:pPr>
      <w:r>
        <w:rPr/>
      </w:r>
    </w:p>
    <w:p>
      <w:pPr>
        <w:pStyle w:val="ListParagraph"/>
        <w:numPr>
          <w:ilvl w:val="0"/>
          <w:numId w:val="8"/>
        </w:numPr>
        <w:jc w:val="both"/>
        <w:rPr>
          <w:b/>
          <w:b/>
        </w:rPr>
      </w:pPr>
      <w:r>
        <w:rPr>
          <w:b/>
        </w:rPr>
        <w:t>vytápění</w:t>
      </w:r>
    </w:p>
    <w:p>
      <w:pPr>
        <w:pStyle w:val="Normal"/>
        <w:ind w:left="219" w:firstLine="708"/>
        <w:jc w:val="both"/>
        <w:rPr/>
      </w:pPr>
      <w:r>
        <w:rPr/>
        <w:t xml:space="preserve">V rámci této PD není řešeno vytápění prostor. Jedná se pouze o přístavbu výtahové šachty a úpravy v učebnách a kabinetech obchodní akademie v Plzni. </w:t>
      </w:r>
    </w:p>
    <w:p>
      <w:pPr>
        <w:pStyle w:val="Normal"/>
        <w:jc w:val="both"/>
        <w:rPr/>
      </w:pPr>
      <w:r>
        <w:rPr/>
      </w:r>
    </w:p>
    <w:p>
      <w:pPr>
        <w:pStyle w:val="ListParagraph"/>
        <w:numPr>
          <w:ilvl w:val="0"/>
          <w:numId w:val="8"/>
        </w:numPr>
        <w:jc w:val="both"/>
        <w:rPr>
          <w:b/>
          <w:b/>
        </w:rPr>
      </w:pPr>
      <w:r>
        <w:rPr>
          <w:b/>
        </w:rPr>
        <w:t>osvětlení</w:t>
      </w:r>
    </w:p>
    <w:p>
      <w:pPr>
        <w:pStyle w:val="Normal"/>
        <w:ind w:left="708" w:firstLine="219"/>
        <w:jc w:val="both"/>
        <w:rPr/>
      </w:pPr>
      <w:r>
        <w:rPr/>
        <w:t>Není předmětem této PD.</w:t>
      </w:r>
    </w:p>
    <w:p>
      <w:pPr>
        <w:pStyle w:val="Normal"/>
        <w:jc w:val="both"/>
        <w:rPr/>
      </w:pPr>
      <w:r>
        <w:rPr/>
      </w:r>
    </w:p>
    <w:p>
      <w:pPr>
        <w:pStyle w:val="ListParagraph"/>
        <w:numPr>
          <w:ilvl w:val="0"/>
          <w:numId w:val="8"/>
        </w:numPr>
        <w:jc w:val="both"/>
        <w:rPr>
          <w:b/>
          <w:b/>
        </w:rPr>
      </w:pPr>
      <w:r>
        <w:rPr>
          <w:b/>
        </w:rPr>
        <w:t>zásobování vodou</w:t>
      </w:r>
    </w:p>
    <w:p>
      <w:pPr>
        <w:pStyle w:val="ListParagraph"/>
        <w:ind w:left="927" w:hanging="0"/>
        <w:jc w:val="both"/>
        <w:rPr/>
      </w:pPr>
      <w:r>
        <w:rPr/>
        <w:t>V rámci stavebních úprav dojde k výměně některých zařizovacích předmětů. Nově je navržena toaleta pro osoby se sníženou schopností pohybu a orientace. Navržené úpravy nevyžadují nové řešení zásobování vodou, napojení je na rozvody stávající.</w:t>
      </w:r>
    </w:p>
    <w:p>
      <w:pPr>
        <w:pStyle w:val="Normal"/>
        <w:ind w:left="708" w:firstLine="712"/>
        <w:jc w:val="both"/>
        <w:rPr/>
      </w:pPr>
      <w:r>
        <w:rPr/>
      </w:r>
    </w:p>
    <w:p>
      <w:pPr>
        <w:pStyle w:val="ListParagraph"/>
        <w:numPr>
          <w:ilvl w:val="0"/>
          <w:numId w:val="8"/>
        </w:numPr>
        <w:jc w:val="both"/>
        <w:rPr>
          <w:b/>
          <w:b/>
        </w:rPr>
      </w:pPr>
      <w:r>
        <w:rPr>
          <w:b/>
        </w:rPr>
        <w:t>Kanalizace</w:t>
      </w:r>
    </w:p>
    <w:p>
      <w:pPr>
        <w:pStyle w:val="ListParagraph"/>
        <w:ind w:left="927" w:hanging="0"/>
        <w:jc w:val="both"/>
        <w:rPr/>
      </w:pPr>
      <w:r>
        <w:rPr/>
        <w:t xml:space="preserve">Nově bude navíc produkováno jen malé množství splaškových vod z nově navrženého wc pro osoby se sníženou schopností pohybu a orientace. Toto množství nebude mít vliv na stávající odvod splaškových vod. Napojení zařizovacích předmětů je do stávající vnitřní kanalizace – napojení do stávající stoupačky kanalizačního potrubí. </w:t>
      </w:r>
    </w:p>
    <w:p>
      <w:pPr>
        <w:pStyle w:val="ListParagraph"/>
        <w:ind w:left="927" w:hanging="0"/>
        <w:jc w:val="both"/>
        <w:rPr>
          <w:b/>
          <w:b/>
        </w:rPr>
      </w:pPr>
      <w:r>
        <w:rPr>
          <w:b/>
        </w:rPr>
      </w:r>
    </w:p>
    <w:p>
      <w:pPr>
        <w:pStyle w:val="ListParagraph"/>
        <w:numPr>
          <w:ilvl w:val="0"/>
          <w:numId w:val="8"/>
        </w:numPr>
        <w:jc w:val="both"/>
        <w:rPr>
          <w:b/>
          <w:b/>
        </w:rPr>
      </w:pPr>
      <w:r>
        <w:rPr>
          <w:b/>
        </w:rPr>
        <w:t>odpady</w:t>
      </w:r>
    </w:p>
    <w:p>
      <w:pPr>
        <w:pStyle w:val="Normal"/>
        <w:ind w:left="567" w:firstLine="708"/>
        <w:jc w:val="both"/>
        <w:rPr/>
      </w:pPr>
      <w:r>
        <w:rPr/>
        <w:t>Odpady a způsob jejich likvidace během provádění stavby jsou ve formě tabulek zařazeny v následující části tohoto textu.</w:t>
      </w:r>
    </w:p>
    <w:p>
      <w:pPr>
        <w:pStyle w:val="Normal"/>
        <w:ind w:left="567" w:firstLine="853"/>
        <w:jc w:val="both"/>
        <w:rPr/>
      </w:pPr>
      <w:r>
        <w:rPr/>
        <w:t>Vzhledem ke kategorizaci odpadů (vyhláška MŽP. 381/2001 Sb. ve znění vyhlášky 503/2004 Sb.) je možno odpady rozdělit na odpady vzniklé během stavby a na odpady vznikající během vlastního provozu stavby.</w:t>
      </w:r>
    </w:p>
    <w:p>
      <w:pPr>
        <w:pStyle w:val="Normal"/>
        <w:ind w:left="567" w:firstLine="853"/>
        <w:jc w:val="both"/>
        <w:rPr/>
      </w:pPr>
      <w:r>
        <w:rPr/>
        <w:t>Tabulka rozdělení odpadů viz B.2.1.c)</w:t>
      </w:r>
    </w:p>
    <w:p>
      <w:pPr>
        <w:pStyle w:val="Normal"/>
        <w:jc w:val="both"/>
        <w:rPr/>
      </w:pPr>
      <w:r>
        <w:rPr/>
      </w:r>
    </w:p>
    <w:p>
      <w:pPr>
        <w:pStyle w:val="ListParagraph"/>
        <w:numPr>
          <w:ilvl w:val="0"/>
          <w:numId w:val="8"/>
        </w:numPr>
        <w:jc w:val="both"/>
        <w:rPr>
          <w:b/>
          <w:b/>
        </w:rPr>
      </w:pPr>
      <w:r>
        <w:rPr>
          <w:b/>
        </w:rPr>
        <w:t>zásady řešení vlivu stavby na okolí (hluk, prašnost, vibrace,…)</w:t>
      </w:r>
    </w:p>
    <w:p>
      <w:pPr>
        <w:pStyle w:val="Normal"/>
        <w:ind w:left="567" w:firstLine="708"/>
        <w:jc w:val="both"/>
        <w:rPr/>
      </w:pPr>
      <w:r>
        <w:rPr/>
        <w:t>Stavba nebude mít negativní účinky na okolní životní prostředí nad míru obvyklou pro tento druh staveb. Negativní vlivy jako hluk, prach, zápach, jiné škodlivé emise, zastínění apod. jsou s ohledem na druh a umístění stavby zanedbatelné, nebo vůbec nepřicházejí v úvahu.</w:t>
      </w:r>
    </w:p>
    <w:p>
      <w:pPr>
        <w:pStyle w:val="Normal"/>
        <w:jc w:val="both"/>
        <w:rPr>
          <w:b/>
          <w:b/>
        </w:rPr>
      </w:pPr>
      <w:r>
        <w:rPr>
          <w:b/>
        </w:rPr>
      </w:r>
    </w:p>
    <w:p>
      <w:pPr>
        <w:pStyle w:val="Nadpis2"/>
        <w:numPr>
          <w:ilvl w:val="2"/>
          <w:numId w:val="1"/>
        </w:numPr>
        <w:jc w:val="both"/>
        <w:rPr/>
      </w:pPr>
      <w:bookmarkStart w:id="34" w:name="_Toc479276030"/>
      <w:bookmarkStart w:id="35" w:name="_Toc471819883"/>
      <w:bookmarkEnd w:id="34"/>
      <w:bookmarkEnd w:id="35"/>
      <w:r>
        <w:rPr/>
        <w:t>Ochrana stavby před negativními účinky vnějšího prostředí</w:t>
      </w:r>
    </w:p>
    <w:p>
      <w:pPr>
        <w:pStyle w:val="ListParagraph"/>
        <w:numPr>
          <w:ilvl w:val="0"/>
          <w:numId w:val="10"/>
        </w:numPr>
        <w:jc w:val="both"/>
        <w:rPr>
          <w:b/>
          <w:b/>
        </w:rPr>
      </w:pPr>
      <w:r>
        <w:rPr>
          <w:b/>
        </w:rPr>
        <w:t>ochrana před pronikáním radonu z podloží</w:t>
      </w:r>
    </w:p>
    <w:p>
      <w:pPr>
        <w:pStyle w:val="Normal"/>
        <w:jc w:val="both"/>
        <w:rPr/>
      </w:pPr>
      <w:r>
        <w:rPr/>
        <w:tab/>
        <w:tab/>
        <w:t xml:space="preserve">Jedná se o přístavbu výtahu, ochrana před radonem není předmětem této PD. </w:t>
      </w:r>
    </w:p>
    <w:p>
      <w:pPr>
        <w:pStyle w:val="Normal"/>
        <w:jc w:val="both"/>
        <w:rPr/>
      </w:pPr>
      <w:r>
        <w:rPr/>
      </w:r>
    </w:p>
    <w:p>
      <w:pPr>
        <w:pStyle w:val="ListParagraph"/>
        <w:numPr>
          <w:ilvl w:val="0"/>
          <w:numId w:val="10"/>
        </w:numPr>
        <w:jc w:val="both"/>
        <w:rPr>
          <w:b/>
          <w:b/>
        </w:rPr>
      </w:pPr>
      <w:r>
        <w:rPr>
          <w:b/>
        </w:rPr>
        <w:t>ochrana před bludnými proudy</w:t>
      </w:r>
    </w:p>
    <w:p>
      <w:pPr>
        <w:pStyle w:val="Normal"/>
        <w:ind w:left="708" w:firstLine="708"/>
        <w:jc w:val="both"/>
        <w:rPr/>
      </w:pPr>
      <w:r>
        <w:rPr/>
        <w:t>Netýká se uvedené stavby.</w:t>
      </w:r>
    </w:p>
    <w:p>
      <w:pPr>
        <w:pStyle w:val="Normal"/>
        <w:jc w:val="both"/>
        <w:rPr/>
      </w:pPr>
      <w:r>
        <w:rPr/>
      </w:r>
    </w:p>
    <w:p>
      <w:pPr>
        <w:pStyle w:val="ListParagraph"/>
        <w:numPr>
          <w:ilvl w:val="0"/>
          <w:numId w:val="10"/>
        </w:numPr>
        <w:jc w:val="both"/>
        <w:rPr>
          <w:b/>
          <w:b/>
        </w:rPr>
      </w:pPr>
      <w:r>
        <w:rPr>
          <w:b/>
        </w:rPr>
        <w:t>ochrana před technickou seizmicitou</w:t>
      </w:r>
    </w:p>
    <w:p>
      <w:pPr>
        <w:pStyle w:val="Normal"/>
        <w:ind w:left="708" w:firstLine="708"/>
        <w:jc w:val="both"/>
        <w:rPr/>
      </w:pPr>
      <w:r>
        <w:rPr/>
        <w:t>Území nevykazuje zvýšenou seismicitu.</w:t>
      </w:r>
    </w:p>
    <w:p>
      <w:pPr>
        <w:pStyle w:val="Normal"/>
        <w:jc w:val="both"/>
        <w:rPr/>
      </w:pPr>
      <w:r>
        <w:rPr/>
      </w:r>
    </w:p>
    <w:p>
      <w:pPr>
        <w:pStyle w:val="ListParagraph"/>
        <w:numPr>
          <w:ilvl w:val="0"/>
          <w:numId w:val="10"/>
        </w:numPr>
        <w:jc w:val="both"/>
        <w:rPr>
          <w:b/>
          <w:b/>
        </w:rPr>
      </w:pPr>
      <w:r>
        <w:rPr>
          <w:b/>
        </w:rPr>
        <w:t>ochrana před hlukem</w:t>
      </w:r>
    </w:p>
    <w:p>
      <w:pPr>
        <w:pStyle w:val="Normal"/>
        <w:ind w:left="708" w:firstLine="708"/>
        <w:jc w:val="both"/>
        <w:rPr/>
      </w:pPr>
      <w:r>
        <w:rPr/>
        <w:t>Objekt je navržen podle ČSN 73 0532 (akustika) v platném znění a souvisejících předpisů.</w:t>
      </w:r>
    </w:p>
    <w:p>
      <w:pPr>
        <w:pStyle w:val="Normal"/>
        <w:ind w:left="708" w:firstLine="708"/>
        <w:jc w:val="both"/>
        <w:rPr/>
      </w:pPr>
      <w:r>
        <w:rPr/>
        <w:t xml:space="preserve">Ochrana proti hluku z vnějšího prostoru - je dostatečně zajištěna návrhem obalových konstrukcí objektu (vně stavby neexistuje výrazný zdroj hluku). </w:t>
      </w:r>
    </w:p>
    <w:p>
      <w:pPr>
        <w:pStyle w:val="Normal"/>
        <w:jc w:val="both"/>
        <w:rPr/>
      </w:pPr>
      <w:r>
        <w:rPr/>
      </w:r>
    </w:p>
    <w:p>
      <w:pPr>
        <w:pStyle w:val="ListParagraph"/>
        <w:numPr>
          <w:ilvl w:val="0"/>
          <w:numId w:val="10"/>
        </w:numPr>
        <w:jc w:val="both"/>
        <w:rPr>
          <w:b/>
          <w:b/>
        </w:rPr>
      </w:pPr>
      <w:r>
        <w:rPr>
          <w:b/>
        </w:rPr>
        <w:t>protipovodňová opatření</w:t>
      </w:r>
    </w:p>
    <w:p>
      <w:pPr>
        <w:pStyle w:val="Normal"/>
        <w:jc w:val="both"/>
        <w:rPr/>
      </w:pPr>
      <w:r>
        <w:rPr/>
        <w:tab/>
        <w:tab/>
        <w:t>Netýká se uvedené stavby. Stavba se nenachází v zátopovém území.</w:t>
      </w:r>
    </w:p>
    <w:p>
      <w:pPr>
        <w:pStyle w:val="Nadpis1"/>
        <w:numPr>
          <w:ilvl w:val="1"/>
          <w:numId w:val="1"/>
        </w:numPr>
        <w:jc w:val="both"/>
        <w:rPr/>
      </w:pPr>
      <w:bookmarkStart w:id="36" w:name="_Toc479276031"/>
      <w:bookmarkStart w:id="37" w:name="_Toc471819884"/>
      <w:bookmarkEnd w:id="36"/>
      <w:bookmarkEnd w:id="37"/>
      <w:r>
        <w:rPr/>
        <w:t>Připojení na technickou infrastrukturu</w:t>
      </w:r>
    </w:p>
    <w:p>
      <w:pPr>
        <w:pStyle w:val="ListParagraph"/>
        <w:numPr>
          <w:ilvl w:val="0"/>
          <w:numId w:val="11"/>
        </w:numPr>
        <w:jc w:val="both"/>
        <w:rPr>
          <w:b/>
          <w:b/>
        </w:rPr>
      </w:pPr>
      <w:r>
        <w:rPr>
          <w:b/>
        </w:rPr>
        <w:t>napojovací místa technické infrastruktury</w:t>
      </w:r>
    </w:p>
    <w:p>
      <w:pPr>
        <w:pStyle w:val="ListParagraph"/>
        <w:ind w:left="927" w:hanging="0"/>
        <w:jc w:val="both"/>
        <w:rPr>
          <w:u w:val="single"/>
        </w:rPr>
      </w:pPr>
      <w:r>
        <w:rPr>
          <w:u w:val="single"/>
        </w:rPr>
        <w:t>Odpadní splaškové vody</w:t>
      </w:r>
    </w:p>
    <w:p>
      <w:pPr>
        <w:pStyle w:val="Normal"/>
        <w:ind w:left="1276" w:hanging="0"/>
        <w:jc w:val="both"/>
        <w:rPr/>
      </w:pPr>
      <w:r>
        <w:rPr/>
        <w:t xml:space="preserve">Nově bude navíc produkováno jen malé množství splaškových vod z nově navrženého wc pro osoby se sníženou schopností pohybu a orientace. Toto množství nebude mít vliv na stávající odvod splaškových vod. Napojení zařizovacích předmětů je do stávající vnitřní kanalizace – napojení do stávající stoupačky kanalizačního potrubí. </w:t>
      </w:r>
    </w:p>
    <w:p>
      <w:pPr>
        <w:pStyle w:val="Normal"/>
        <w:ind w:left="568" w:firstLine="708"/>
        <w:jc w:val="both"/>
        <w:rPr/>
      </w:pPr>
      <w:r>
        <w:rPr/>
      </w:r>
    </w:p>
    <w:p>
      <w:pPr>
        <w:pStyle w:val="Normal"/>
        <w:ind w:left="568" w:firstLine="708"/>
        <w:jc w:val="both"/>
        <w:rPr/>
      </w:pPr>
      <w:r>
        <w:rPr>
          <w:u w:val="single"/>
        </w:rPr>
        <w:t>Zásobování objektu vodou</w:t>
      </w:r>
      <w:r>
        <w:rPr/>
        <w:t xml:space="preserve"> </w:t>
      </w:r>
    </w:p>
    <w:p>
      <w:pPr>
        <w:pStyle w:val="Normal"/>
        <w:ind w:left="1276" w:hanging="0"/>
        <w:jc w:val="both"/>
        <w:rPr/>
      </w:pPr>
      <w:r>
        <w:rPr/>
        <w:t>V rámci stavebních úprav dojde k výměně některých zařizovacích předmětů. Nově je navržena toaleta pro osoby se sníženou schopností pohybu a orientace. Navržené úpravy nevyžadují nové řešení zásobování vodou, napojení je na rozvody stávající.</w:t>
      </w:r>
    </w:p>
    <w:p>
      <w:pPr>
        <w:pStyle w:val="Normal"/>
        <w:ind w:left="568" w:firstLine="708"/>
        <w:jc w:val="both"/>
        <w:rPr/>
      </w:pPr>
      <w:r>
        <w:rPr/>
      </w:r>
    </w:p>
    <w:p>
      <w:pPr>
        <w:pStyle w:val="Normal"/>
        <w:ind w:left="1136" w:firstLine="140"/>
        <w:jc w:val="both"/>
        <w:rPr>
          <w:u w:val="single"/>
        </w:rPr>
      </w:pPr>
      <w:r>
        <w:rPr>
          <w:u w:val="single"/>
        </w:rPr>
        <w:t xml:space="preserve">Připojení objektu na elektrickou energii: </w:t>
      </w:r>
    </w:p>
    <w:p>
      <w:pPr>
        <w:pStyle w:val="Normal"/>
        <w:ind w:left="568" w:firstLine="708"/>
        <w:jc w:val="both"/>
        <w:rPr/>
      </w:pPr>
      <w:r>
        <w:rPr/>
        <w:t xml:space="preserve">Objekt bude napojen na stávající rozvody objektu obchodní akademie. </w:t>
      </w:r>
    </w:p>
    <w:p>
      <w:pPr>
        <w:pStyle w:val="Normal"/>
        <w:jc w:val="both"/>
        <w:rPr/>
      </w:pPr>
      <w:r>
        <w:rPr/>
      </w:r>
    </w:p>
    <w:p>
      <w:pPr>
        <w:pStyle w:val="Normal"/>
        <w:ind w:left="708" w:firstLine="708"/>
        <w:jc w:val="both"/>
        <w:rPr/>
      </w:pPr>
      <w:r>
        <w:rPr/>
        <w:t>Zásobování objektu plynem není.</w:t>
      </w:r>
    </w:p>
    <w:p>
      <w:pPr>
        <w:pStyle w:val="Normal"/>
        <w:ind w:left="708" w:firstLine="708"/>
        <w:jc w:val="both"/>
        <w:rPr/>
      </w:pPr>
      <w:r>
        <w:rPr/>
        <w:t xml:space="preserve">Vytápění není předmětem této PD. </w:t>
      </w:r>
    </w:p>
    <w:p>
      <w:pPr>
        <w:pStyle w:val="Normal"/>
        <w:jc w:val="both"/>
        <w:rPr/>
      </w:pPr>
      <w:r>
        <w:rPr/>
      </w:r>
    </w:p>
    <w:p>
      <w:pPr>
        <w:pStyle w:val="ListParagraph"/>
        <w:numPr>
          <w:ilvl w:val="0"/>
          <w:numId w:val="11"/>
        </w:numPr>
        <w:jc w:val="both"/>
        <w:rPr>
          <w:b/>
          <w:b/>
        </w:rPr>
      </w:pPr>
      <w:r>
        <w:rPr>
          <w:b/>
        </w:rPr>
        <w:t>připojovací rozměry, výkonové kapacity a délky</w:t>
      </w:r>
    </w:p>
    <w:p>
      <w:pPr>
        <w:pStyle w:val="Normal"/>
        <w:jc w:val="both"/>
        <w:rPr/>
      </w:pPr>
      <w:r>
        <w:rPr/>
        <w:tab/>
        <w:tab/>
        <w:t>Do přípojek nebude zasahováno.</w:t>
      </w:r>
    </w:p>
    <w:p>
      <w:pPr>
        <w:pStyle w:val="Nadpis1"/>
        <w:numPr>
          <w:ilvl w:val="1"/>
          <w:numId w:val="1"/>
        </w:numPr>
        <w:jc w:val="both"/>
        <w:rPr/>
      </w:pPr>
      <w:bookmarkStart w:id="38" w:name="_Toc479276032"/>
      <w:bookmarkStart w:id="39" w:name="_Toc471819885"/>
      <w:bookmarkEnd w:id="38"/>
      <w:bookmarkEnd w:id="39"/>
      <w:r>
        <w:rPr/>
        <w:t>Dopravní řešení</w:t>
      </w:r>
    </w:p>
    <w:p>
      <w:pPr>
        <w:pStyle w:val="ListParagraph"/>
        <w:numPr>
          <w:ilvl w:val="0"/>
          <w:numId w:val="12"/>
        </w:numPr>
        <w:jc w:val="both"/>
        <w:rPr>
          <w:b/>
          <w:b/>
        </w:rPr>
      </w:pPr>
      <w:r>
        <w:rPr>
          <w:b/>
        </w:rPr>
        <w:t>popis dopravního řešení</w:t>
      </w:r>
    </w:p>
    <w:p>
      <w:pPr>
        <w:pStyle w:val="Normal"/>
        <w:ind w:left="708" w:firstLine="712"/>
        <w:jc w:val="both"/>
        <w:rPr/>
      </w:pPr>
      <w:r>
        <w:rPr/>
        <w:t>Vjezd do dvora školy je stávající.</w:t>
      </w:r>
    </w:p>
    <w:p>
      <w:pPr>
        <w:pStyle w:val="Normal"/>
        <w:jc w:val="both"/>
        <w:rPr/>
      </w:pPr>
      <w:r>
        <w:rPr/>
      </w:r>
    </w:p>
    <w:p>
      <w:pPr>
        <w:pStyle w:val="ListParagraph"/>
        <w:numPr>
          <w:ilvl w:val="0"/>
          <w:numId w:val="12"/>
        </w:numPr>
        <w:jc w:val="both"/>
        <w:rPr>
          <w:b/>
          <w:b/>
        </w:rPr>
      </w:pPr>
      <w:r>
        <w:rPr>
          <w:b/>
        </w:rPr>
        <w:t>napojení území na stávající dopravní infrastrukturu</w:t>
      </w:r>
    </w:p>
    <w:p>
      <w:pPr>
        <w:pStyle w:val="Normal"/>
        <w:ind w:left="708" w:firstLine="708"/>
        <w:jc w:val="both"/>
        <w:rPr/>
      </w:pPr>
      <w:r>
        <w:rPr/>
        <w:t xml:space="preserve">Vjezd do dvora školy je stávající. </w:t>
      </w:r>
    </w:p>
    <w:p>
      <w:pPr>
        <w:pStyle w:val="Normal"/>
        <w:ind w:left="708" w:firstLine="708"/>
        <w:jc w:val="both"/>
        <w:rPr/>
      </w:pPr>
      <w:r>
        <w:rPr/>
      </w:r>
    </w:p>
    <w:p>
      <w:pPr>
        <w:pStyle w:val="Normal"/>
        <w:ind w:left="708" w:firstLine="708"/>
        <w:jc w:val="both"/>
        <w:rPr/>
      </w:pPr>
      <w:r>
        <w:rPr/>
      </w:r>
    </w:p>
    <w:p>
      <w:pPr>
        <w:pStyle w:val="Normal"/>
        <w:ind w:left="708" w:firstLine="708"/>
        <w:jc w:val="both"/>
        <w:rPr/>
      </w:pPr>
      <w:r>
        <w:rPr/>
      </w:r>
    </w:p>
    <w:p>
      <w:pPr>
        <w:pStyle w:val="ListParagraph"/>
        <w:numPr>
          <w:ilvl w:val="0"/>
          <w:numId w:val="12"/>
        </w:numPr>
        <w:jc w:val="both"/>
        <w:rPr>
          <w:b/>
          <w:b/>
        </w:rPr>
      </w:pPr>
      <w:r>
        <w:rPr>
          <w:b/>
        </w:rPr>
        <w:t>doprava v klidu</w:t>
      </w:r>
    </w:p>
    <w:p>
      <w:pPr>
        <w:pStyle w:val="Normal"/>
        <w:ind w:left="708" w:firstLine="708"/>
        <w:jc w:val="both"/>
        <w:rPr/>
      </w:pPr>
      <w:r>
        <w:rPr/>
        <w:t>Venkovní parkovací stání jsou stávající. Přístavbou výtahové šachty nevznikne požadavek na jejich navýšení.</w:t>
      </w:r>
    </w:p>
    <w:p>
      <w:pPr>
        <w:pStyle w:val="Normal"/>
        <w:ind w:left="708" w:firstLine="708"/>
        <w:jc w:val="both"/>
        <w:rPr/>
      </w:pPr>
      <w:r>
        <w:rPr/>
      </w:r>
    </w:p>
    <w:p>
      <w:pPr>
        <w:pStyle w:val="ListParagraph"/>
        <w:numPr>
          <w:ilvl w:val="0"/>
          <w:numId w:val="12"/>
        </w:numPr>
        <w:jc w:val="both"/>
        <w:rPr>
          <w:b/>
          <w:b/>
        </w:rPr>
      </w:pPr>
      <w:r>
        <w:rPr>
          <w:b/>
        </w:rPr>
        <w:t>pěší a cyklistické stezky</w:t>
      </w:r>
    </w:p>
    <w:p>
      <w:pPr>
        <w:pStyle w:val="ListParagraph"/>
        <w:ind w:left="1416" w:hanging="0"/>
        <w:jc w:val="both"/>
        <w:rPr/>
      </w:pPr>
      <w:r>
        <w:rPr/>
        <w:t>Nejsou součástí tohoto projektu.</w:t>
      </w:r>
    </w:p>
    <w:p>
      <w:pPr>
        <w:pStyle w:val="Nadpis1"/>
        <w:numPr>
          <w:ilvl w:val="1"/>
          <w:numId w:val="1"/>
        </w:numPr>
        <w:jc w:val="both"/>
        <w:rPr/>
      </w:pPr>
      <w:bookmarkStart w:id="40" w:name="_Toc479276033"/>
      <w:bookmarkStart w:id="41" w:name="_Toc471819886"/>
      <w:bookmarkEnd w:id="40"/>
      <w:bookmarkEnd w:id="41"/>
      <w:r>
        <w:rPr/>
        <w:t>Řešení vegetace a souvisejících terénních úprav</w:t>
      </w:r>
    </w:p>
    <w:p>
      <w:pPr>
        <w:pStyle w:val="ListParagraph"/>
        <w:numPr>
          <w:ilvl w:val="0"/>
          <w:numId w:val="13"/>
        </w:numPr>
        <w:jc w:val="both"/>
        <w:rPr>
          <w:b/>
          <w:b/>
        </w:rPr>
      </w:pPr>
      <w:r>
        <w:rPr>
          <w:b/>
        </w:rPr>
        <w:t>terénní úpravy</w:t>
      </w:r>
    </w:p>
    <w:p>
      <w:pPr>
        <w:pStyle w:val="Normal"/>
        <w:ind w:left="1068" w:firstLine="708"/>
        <w:jc w:val="both"/>
        <w:rPr/>
      </w:pPr>
      <w:r>
        <w:rPr/>
        <w:t xml:space="preserve">Terénní úpravy se týkají pouze úpravy okolo nové výtahové šachty. Jedná se o přístavbu u severní fasády akademie, ve dvoře. Okolo výtahové šachty bude proveden okapový štěrkový chodník a zbytek ploch je navržen jako zpevněný s navázáním na stávající zpevněné plochy dvora. </w:t>
      </w:r>
    </w:p>
    <w:p>
      <w:pPr>
        <w:pStyle w:val="Normal"/>
        <w:ind w:left="1068" w:firstLine="708"/>
        <w:jc w:val="both"/>
        <w:rPr/>
      </w:pPr>
      <w:r>
        <w:rPr/>
        <w:t>V rámci terénních úprav budou dle investora zpevněné plochy doplněny o 2ks laviček a bude dle zadání investora vybudován nový záhon.</w:t>
      </w:r>
    </w:p>
    <w:p>
      <w:pPr>
        <w:pStyle w:val="Normal"/>
        <w:jc w:val="both"/>
        <w:rPr/>
      </w:pPr>
      <w:r>
        <w:rPr/>
      </w:r>
    </w:p>
    <w:p>
      <w:pPr>
        <w:pStyle w:val="ListParagraph"/>
        <w:numPr>
          <w:ilvl w:val="0"/>
          <w:numId w:val="13"/>
        </w:numPr>
        <w:jc w:val="both"/>
        <w:rPr>
          <w:b/>
          <w:b/>
        </w:rPr>
      </w:pPr>
      <w:r>
        <w:rPr>
          <w:b/>
        </w:rPr>
        <w:t>použité vegetační prvky</w:t>
      </w:r>
    </w:p>
    <w:p>
      <w:pPr>
        <w:pStyle w:val="Normal"/>
        <w:jc w:val="both"/>
        <w:rPr/>
      </w:pPr>
      <w:r>
        <w:rPr/>
        <w:tab/>
        <w:tab/>
        <w:t>V rámci zemních prací a venkovních plošných úprav bude provedeno případné zatravnění všech nezpevněných ploch.</w:t>
      </w:r>
    </w:p>
    <w:p>
      <w:pPr>
        <w:pStyle w:val="Nadpis1"/>
        <w:numPr>
          <w:ilvl w:val="1"/>
          <w:numId w:val="1"/>
        </w:numPr>
        <w:jc w:val="both"/>
        <w:rPr/>
      </w:pPr>
      <w:bookmarkStart w:id="42" w:name="_Toc479276034"/>
      <w:bookmarkStart w:id="43" w:name="_Toc471819887"/>
      <w:bookmarkEnd w:id="42"/>
      <w:bookmarkEnd w:id="43"/>
      <w:r>
        <w:rPr/>
        <w:t>Popis vlivů stavby na životní prostředí a jeho ochrana</w:t>
      </w:r>
    </w:p>
    <w:p>
      <w:pPr>
        <w:pStyle w:val="ListParagraph"/>
        <w:numPr>
          <w:ilvl w:val="0"/>
          <w:numId w:val="14"/>
        </w:numPr>
        <w:jc w:val="both"/>
        <w:rPr>
          <w:b/>
          <w:b/>
        </w:rPr>
      </w:pPr>
      <w:r>
        <w:rPr>
          <w:b/>
        </w:rPr>
        <w:t>vliv stavby na životní prostředí – ovzduší, hluk, voda, odpady a půda</w:t>
      </w:r>
    </w:p>
    <w:p>
      <w:pPr>
        <w:pStyle w:val="Normal"/>
        <w:ind w:left="1068" w:firstLine="712"/>
        <w:jc w:val="both"/>
        <w:rPr/>
      </w:pPr>
      <w:r>
        <w:rPr/>
        <w:t xml:space="preserve">Stavba nebude mít negativní účinky na okolní životní prostředí nad míru obvyklou pro tento druh výstavby. Během užívání stavby vzniká pouze běžný komunální odpad. </w:t>
      </w:r>
    </w:p>
    <w:p>
      <w:pPr>
        <w:pStyle w:val="Normal"/>
        <w:jc w:val="both"/>
        <w:rPr/>
      </w:pPr>
      <w:r>
        <w:rPr/>
      </w:r>
    </w:p>
    <w:p>
      <w:pPr>
        <w:pStyle w:val="ListParagraph"/>
        <w:numPr>
          <w:ilvl w:val="0"/>
          <w:numId w:val="14"/>
        </w:numPr>
        <w:jc w:val="both"/>
        <w:rPr>
          <w:b/>
          <w:b/>
        </w:rPr>
      </w:pPr>
      <w:r>
        <w:rPr>
          <w:b/>
        </w:rPr>
        <w:t>vliv stavby na přírodu a krajinu (ochrana dřevin, ochrana památných stromů, ochrana rostlin a živočichů apod.), zachování ekologických funkcí a vazeb v krajině</w:t>
      </w:r>
    </w:p>
    <w:p>
      <w:pPr>
        <w:pStyle w:val="Normal"/>
        <w:jc w:val="both"/>
        <w:rPr/>
      </w:pPr>
      <w:r>
        <w:rPr/>
        <w:tab/>
        <w:tab/>
        <w:t>Netýká se uvedené stavby.</w:t>
      </w:r>
    </w:p>
    <w:p>
      <w:pPr>
        <w:pStyle w:val="Normal"/>
        <w:jc w:val="both"/>
        <w:rPr/>
      </w:pPr>
      <w:r>
        <w:rPr/>
      </w:r>
    </w:p>
    <w:p>
      <w:pPr>
        <w:pStyle w:val="ListParagraph"/>
        <w:numPr>
          <w:ilvl w:val="0"/>
          <w:numId w:val="14"/>
        </w:numPr>
        <w:jc w:val="both"/>
        <w:rPr>
          <w:b/>
          <w:b/>
        </w:rPr>
      </w:pPr>
      <w:r>
        <w:rPr>
          <w:b/>
        </w:rPr>
        <w:t>vliv stavby na soustavu chráněných území Natura 2000</w:t>
      </w:r>
    </w:p>
    <w:p>
      <w:pPr>
        <w:pStyle w:val="Normal"/>
        <w:jc w:val="both"/>
        <w:rPr/>
      </w:pPr>
      <w:r>
        <w:rPr/>
        <w:tab/>
        <w:tab/>
        <w:t>Netýká se uvedené stavby. Lokalita zástavby se nachází mimo území Natura 2000.</w:t>
      </w:r>
    </w:p>
    <w:p>
      <w:pPr>
        <w:pStyle w:val="Normal"/>
        <w:jc w:val="both"/>
        <w:rPr/>
      </w:pPr>
      <w:r>
        <w:rPr/>
      </w:r>
    </w:p>
    <w:p>
      <w:pPr>
        <w:pStyle w:val="ListParagraph"/>
        <w:numPr>
          <w:ilvl w:val="0"/>
          <w:numId w:val="14"/>
        </w:numPr>
        <w:jc w:val="both"/>
        <w:rPr>
          <w:b/>
          <w:b/>
        </w:rPr>
      </w:pPr>
      <w:r>
        <w:rPr>
          <w:b/>
        </w:rPr>
        <w:t>zohlednění podmínek ze závěru zjišť. řízení nebo stanoviska EIA</w:t>
      </w:r>
    </w:p>
    <w:p>
      <w:pPr>
        <w:pStyle w:val="Normal"/>
        <w:jc w:val="both"/>
        <w:rPr/>
      </w:pPr>
      <w:r>
        <w:rPr/>
        <w:tab/>
        <w:tab/>
        <w:t>Netýká se uvedené stavby. Lokalita zástavby nepodléhá zjišťovacímu řízení nebo stanovisku EIA.</w:t>
      </w:r>
    </w:p>
    <w:p>
      <w:pPr>
        <w:pStyle w:val="Normal"/>
        <w:jc w:val="both"/>
        <w:rPr/>
      </w:pPr>
      <w:r>
        <w:rPr/>
      </w:r>
    </w:p>
    <w:p>
      <w:pPr>
        <w:pStyle w:val="ListParagraph"/>
        <w:numPr>
          <w:ilvl w:val="0"/>
          <w:numId w:val="14"/>
        </w:numPr>
        <w:jc w:val="both"/>
        <w:rPr>
          <w:b/>
          <w:b/>
        </w:rPr>
      </w:pPr>
      <w:r>
        <w:rPr>
          <w:b/>
        </w:rPr>
        <w:t>navrhovaná ochranná a bezpečnostní pásma, rozsah omezení a podmínky ochrany podle jiných právních předpisů</w:t>
      </w:r>
    </w:p>
    <w:p>
      <w:pPr>
        <w:pStyle w:val="Normal"/>
        <w:jc w:val="both"/>
        <w:rPr/>
      </w:pPr>
      <w:r>
        <w:rPr/>
        <w:tab/>
        <w:tab/>
        <w:t>Netýká se uvedené stavby.</w:t>
      </w:r>
    </w:p>
    <w:p>
      <w:pPr>
        <w:pStyle w:val="Nadpis1"/>
        <w:numPr>
          <w:ilvl w:val="1"/>
          <w:numId w:val="1"/>
        </w:numPr>
        <w:jc w:val="both"/>
        <w:rPr/>
      </w:pPr>
      <w:bookmarkStart w:id="44" w:name="_Toc479276035"/>
      <w:bookmarkStart w:id="45" w:name="_Toc471819888"/>
      <w:bookmarkEnd w:id="44"/>
      <w:bookmarkEnd w:id="45"/>
      <w:r>
        <w:rPr/>
        <w:t>Ochrana obyvatelstva</w:t>
      </w:r>
    </w:p>
    <w:p>
      <w:pPr>
        <w:pStyle w:val="Normal"/>
        <w:ind w:firstLine="708"/>
        <w:rPr/>
      </w:pPr>
      <w:r>
        <w:rPr/>
        <w:t>Ochrana obyvatelstva je řešena pouze v oblasti požární bezpečnosti stavby.</w:t>
      </w:r>
    </w:p>
    <w:p>
      <w:pPr>
        <w:pStyle w:val="Nadpis1"/>
        <w:numPr>
          <w:ilvl w:val="1"/>
          <w:numId w:val="1"/>
        </w:numPr>
        <w:jc w:val="both"/>
        <w:rPr/>
      </w:pPr>
      <w:bookmarkStart w:id="46" w:name="_Toc479276036"/>
      <w:bookmarkStart w:id="47" w:name="_Toc471819889"/>
      <w:bookmarkEnd w:id="46"/>
      <w:bookmarkEnd w:id="47"/>
      <w:r>
        <w:rPr/>
        <w:t>Zásady organizace výstavby</w:t>
      </w:r>
    </w:p>
    <w:p>
      <w:pPr>
        <w:pStyle w:val="ListParagraph"/>
        <w:numPr>
          <w:ilvl w:val="0"/>
          <w:numId w:val="15"/>
        </w:numPr>
        <w:jc w:val="both"/>
        <w:rPr/>
      </w:pPr>
      <w:r>
        <w:rPr>
          <w:b/>
        </w:rPr>
        <w:t>potřeby a spotřeby rozhodujících médií a hmot, jejich zajištění</w:t>
      </w:r>
    </w:p>
    <w:p>
      <w:pPr>
        <w:pStyle w:val="Normal"/>
        <w:ind w:left="1068" w:firstLine="708"/>
        <w:jc w:val="both"/>
        <w:rPr/>
      </w:pPr>
      <w:r>
        <w:rPr/>
        <w:t xml:space="preserve">Energie a voda budou odebírány ze stávajících odběrných míst. </w:t>
      </w:r>
    </w:p>
    <w:p>
      <w:pPr>
        <w:pStyle w:val="ListParagraph"/>
        <w:ind w:left="1068" w:hanging="0"/>
        <w:jc w:val="both"/>
        <w:rPr>
          <w:b/>
          <w:b/>
        </w:rPr>
      </w:pPr>
      <w:r>
        <w:rPr>
          <w:b/>
        </w:rPr>
      </w:r>
    </w:p>
    <w:p>
      <w:pPr>
        <w:pStyle w:val="ListParagraph"/>
        <w:numPr>
          <w:ilvl w:val="0"/>
          <w:numId w:val="15"/>
        </w:numPr>
        <w:jc w:val="both"/>
        <w:rPr>
          <w:b/>
          <w:b/>
        </w:rPr>
      </w:pPr>
      <w:r>
        <w:rPr>
          <w:b/>
        </w:rPr>
        <w:t>odvodnění staveniště</w:t>
      </w:r>
    </w:p>
    <w:p>
      <w:pPr>
        <w:pStyle w:val="ListParagraph"/>
        <w:ind w:left="1776" w:hanging="0"/>
        <w:jc w:val="both"/>
        <w:rPr/>
      </w:pPr>
      <w:r>
        <w:rPr/>
        <w:t>Odvodnění staveniště se nevyžaduje, veškerá voda se bude vsakovat.</w:t>
      </w:r>
    </w:p>
    <w:p>
      <w:pPr>
        <w:pStyle w:val="ListParagraph"/>
        <w:ind w:left="1068" w:firstLine="348"/>
        <w:jc w:val="both"/>
        <w:rPr>
          <w:b/>
          <w:b/>
        </w:rPr>
      </w:pPr>
      <w:r>
        <w:rPr>
          <w:b/>
        </w:rPr>
      </w:r>
    </w:p>
    <w:p>
      <w:pPr>
        <w:pStyle w:val="ListParagraph"/>
        <w:numPr>
          <w:ilvl w:val="0"/>
          <w:numId w:val="15"/>
        </w:numPr>
        <w:jc w:val="both"/>
        <w:rPr>
          <w:b/>
          <w:b/>
        </w:rPr>
      </w:pPr>
      <w:r>
        <w:rPr>
          <w:b/>
        </w:rPr>
        <w:t>napojení staveniště na stávající dopravní a technickou infrastrukturu</w:t>
      </w:r>
    </w:p>
    <w:p>
      <w:pPr>
        <w:pStyle w:val="Normal"/>
        <w:ind w:left="1068" w:firstLine="708"/>
        <w:jc w:val="both"/>
        <w:rPr/>
      </w:pPr>
      <w:r>
        <w:rPr/>
        <w:t xml:space="preserve">Pozemky investora jsou dostatečně velké, a tak celá koordinace výstavby bude probíhat z vlastního pozemku, sousední parcely nebudou nijak negativně dotčeny. Vjezd a vstup na staveniště je stávající. Přeložky inženýrských sítí se nevyskytují. Jako zdroj vody pro staveniště se předpokládá využití stávajících zdrojů, jako zdroj el. energie bude sloužit stávající připojení objektu.  </w:t>
      </w:r>
    </w:p>
    <w:p>
      <w:pPr>
        <w:pStyle w:val="Normal"/>
        <w:ind w:left="1068" w:firstLine="708"/>
        <w:jc w:val="both"/>
        <w:rPr/>
      </w:pPr>
      <w:r>
        <w:rPr/>
      </w:r>
    </w:p>
    <w:p>
      <w:pPr>
        <w:pStyle w:val="ListParagraph"/>
        <w:numPr>
          <w:ilvl w:val="0"/>
          <w:numId w:val="15"/>
        </w:numPr>
        <w:jc w:val="both"/>
        <w:rPr>
          <w:b/>
          <w:b/>
        </w:rPr>
      </w:pPr>
      <w:r>
        <w:rPr>
          <w:b/>
        </w:rPr>
        <w:t>vliv provádění stavby na okolní stavby a pozemky</w:t>
      </w:r>
    </w:p>
    <w:p>
      <w:pPr>
        <w:pStyle w:val="Normal"/>
        <w:ind w:left="1068" w:firstLine="348"/>
        <w:jc w:val="both"/>
        <w:rPr/>
      </w:pPr>
      <w:r>
        <w:rPr/>
        <w:t xml:space="preserve">Pro realizaci ani skladování stavebních materiálů nebudou použity sousední pozemky a komunikace. Zázemí pro stavební zaměstnance bude případně v provizorních objektech zařízení staveniště na pozemku stavby. Ostatní zařízení staveniště (stavební dvůr) bude umístěno na pozemku budoucího objektu tak, aby nezasahovalo do veřejných komunikací ani sousedních pozemků.  </w:t>
      </w:r>
    </w:p>
    <w:p>
      <w:pPr>
        <w:pStyle w:val="Normal"/>
        <w:jc w:val="both"/>
        <w:rPr/>
      </w:pPr>
      <w:r>
        <w:rPr/>
      </w:r>
    </w:p>
    <w:p>
      <w:pPr>
        <w:pStyle w:val="ListParagraph"/>
        <w:numPr>
          <w:ilvl w:val="0"/>
          <w:numId w:val="15"/>
        </w:numPr>
        <w:jc w:val="both"/>
        <w:rPr>
          <w:b/>
          <w:b/>
        </w:rPr>
      </w:pPr>
      <w:r>
        <w:rPr>
          <w:b/>
        </w:rPr>
        <w:t>ochrana okolí staveniště a požadavky na související asanace, demolice, kácení dřevin</w:t>
      </w:r>
    </w:p>
    <w:p>
      <w:pPr>
        <w:pStyle w:val="Normal"/>
        <w:ind w:left="1068" w:firstLine="352"/>
        <w:jc w:val="both"/>
        <w:rPr/>
      </w:pPr>
      <w:r>
        <w:rPr/>
        <w:t>Během výstavby musí být zajištěny veškeré normové požadavky k omezení hlučnosti, prašnosti, neznečišťování přilehlých komunikací dopravou apod. Tyto záležitosti musí zajistit dodavatel stavby.</w:t>
      </w:r>
    </w:p>
    <w:p>
      <w:pPr>
        <w:pStyle w:val="Normal"/>
        <w:jc w:val="both"/>
        <w:rPr/>
      </w:pPr>
      <w:r>
        <w:rPr/>
      </w:r>
    </w:p>
    <w:p>
      <w:pPr>
        <w:pStyle w:val="ListParagraph"/>
        <w:numPr>
          <w:ilvl w:val="0"/>
          <w:numId w:val="15"/>
        </w:numPr>
        <w:jc w:val="both"/>
        <w:rPr>
          <w:b/>
          <w:b/>
        </w:rPr>
      </w:pPr>
      <w:r>
        <w:rPr>
          <w:b/>
        </w:rPr>
        <w:t>maximální zábory pro staveniště (dočasné / trvalé)</w:t>
      </w:r>
    </w:p>
    <w:p>
      <w:pPr>
        <w:pStyle w:val="Normal"/>
        <w:ind w:left="1068" w:firstLine="352"/>
        <w:jc w:val="both"/>
        <w:rPr/>
      </w:pPr>
      <w:r>
        <w:rPr/>
        <w:t>Staveniště bude na vlastním pozemku investora, event. dočasné zábory na pozemku města, o které v dostatečném předstihu zažádáme na příslušném úřadě.</w:t>
      </w:r>
    </w:p>
    <w:p>
      <w:pPr>
        <w:pStyle w:val="Normal"/>
        <w:ind w:left="1068" w:firstLine="352"/>
        <w:jc w:val="both"/>
        <w:rPr/>
      </w:pPr>
      <w:r>
        <w:rPr/>
      </w:r>
    </w:p>
    <w:p>
      <w:pPr>
        <w:pStyle w:val="ListParagraph"/>
        <w:numPr>
          <w:ilvl w:val="0"/>
          <w:numId w:val="15"/>
        </w:numPr>
        <w:jc w:val="both"/>
        <w:rPr>
          <w:b/>
          <w:b/>
        </w:rPr>
      </w:pPr>
      <w:r>
        <w:rPr>
          <w:b/>
        </w:rPr>
        <w:t>maximální produkovaná množství a druhy odpadů a emisí při výstavbě, jejich likvidace</w:t>
      </w:r>
    </w:p>
    <w:p>
      <w:pPr>
        <w:pStyle w:val="ListParagraph"/>
        <w:ind w:left="1068" w:firstLine="348"/>
        <w:jc w:val="both"/>
        <w:rPr/>
      </w:pPr>
      <w:r>
        <w:rPr/>
        <w:t xml:space="preserve">Při odjezdu techniky ze stavby musí dodavatel dbát na její očištění před vjezdem na veřejné komunikace. Dodavatel musí provádět každodenní úklid staveniště. </w:t>
      </w:r>
    </w:p>
    <w:p>
      <w:pPr>
        <w:pStyle w:val="ListParagraph"/>
        <w:ind w:left="1068" w:firstLine="348"/>
        <w:jc w:val="both"/>
        <w:rPr/>
      </w:pPr>
      <w:r>
        <w:rPr/>
        <w:t>Skládku, režim dopravy a dopravní trasu na skládku projedná dodavatel přípravných prací na DI policie ČR a na příslušném odboru dopravy.</w:t>
      </w:r>
    </w:p>
    <w:p>
      <w:pPr>
        <w:pStyle w:val="ListParagraph"/>
        <w:ind w:left="1068" w:firstLine="348"/>
        <w:jc w:val="both"/>
        <w:rPr/>
      </w:pPr>
      <w:r>
        <w:rPr/>
      </w:r>
    </w:p>
    <w:p>
      <w:pPr>
        <w:pStyle w:val="ListParagraph"/>
        <w:numPr>
          <w:ilvl w:val="0"/>
          <w:numId w:val="15"/>
        </w:numPr>
        <w:jc w:val="both"/>
        <w:rPr/>
      </w:pPr>
      <w:r>
        <w:rPr>
          <w:b/>
        </w:rPr>
        <w:t>bilance zemních prací, požadavky na přísun nebo deponie zemin</w:t>
      </w:r>
    </w:p>
    <w:p>
      <w:pPr>
        <w:pStyle w:val="ListParagraph"/>
        <w:ind w:left="1068" w:firstLine="348"/>
        <w:jc w:val="both"/>
        <w:rPr/>
      </w:pPr>
      <w:r>
        <w:rPr/>
        <w:t>Při provádění zemních prací budou provedeny výkopy pro základové konstrukce ve vytyčené části pozemku. Vzhledem k rozsahu stavebního objektu budou zemní práce v malém rozsahu. Vytěžená ornice a zemina bude deponována na staveništi pro zásypy, násypy a konečné terénní úpravy. Přebytečná zemina bude odvezena na řízenou skládku.</w:t>
      </w:r>
    </w:p>
    <w:p>
      <w:pPr>
        <w:pStyle w:val="ListParagraph"/>
        <w:ind w:left="1068" w:firstLine="348"/>
        <w:jc w:val="both"/>
        <w:rPr/>
      </w:pPr>
      <w:r>
        <w:rPr/>
      </w:r>
    </w:p>
    <w:p>
      <w:pPr>
        <w:pStyle w:val="ListParagraph"/>
        <w:numPr>
          <w:ilvl w:val="0"/>
          <w:numId w:val="15"/>
        </w:numPr>
        <w:jc w:val="both"/>
        <w:rPr>
          <w:b/>
          <w:b/>
        </w:rPr>
      </w:pPr>
      <w:r>
        <w:rPr>
          <w:b/>
        </w:rPr>
        <w:t>ochrana životního prostředí při výstavbě</w:t>
      </w:r>
    </w:p>
    <w:p>
      <w:pPr>
        <w:pStyle w:val="ListParagraph"/>
        <w:ind w:left="1068" w:firstLine="348"/>
        <w:jc w:val="both"/>
        <w:rPr/>
      </w:pPr>
      <w:r>
        <w:rPr/>
        <w:t>Během výstavby bude vlivem stavebních prací v okolí stavby zvýšená prašnost a hlučnost. Při stavbě nedojde k překročení přípustných hladin hluku před stávajícími obytnými a jinými chráněnými objekty. Během výstavby nebude rušen noční klid. Budou dodrženy obecné podmínky pro ochranu životního prostředí. Odpad ze stavby bude likvidován v souladu se zákonem o odpadech. Ochrana stávající zeleně bude zabezpečena dle ČSN 83 9011 Práce s půdou a ČSN 83 9061 Ochrana stromů, porostů a vegetačních ploch při stavebních pracích.</w:t>
      </w:r>
    </w:p>
    <w:p>
      <w:pPr>
        <w:pStyle w:val="ListParagraph"/>
        <w:ind w:left="1068" w:hanging="0"/>
        <w:jc w:val="both"/>
        <w:rPr/>
      </w:pPr>
      <w:r>
        <w:rPr/>
      </w:r>
    </w:p>
    <w:p>
      <w:pPr>
        <w:pStyle w:val="ListParagraph"/>
        <w:numPr>
          <w:ilvl w:val="0"/>
          <w:numId w:val="15"/>
        </w:numPr>
        <w:jc w:val="both"/>
        <w:rPr/>
      </w:pPr>
      <w:r>
        <w:rPr>
          <w:b/>
        </w:rPr>
        <w:t>zásady bezpečnosti a ochrany zdraví při práci na staveništi, posouzení potřeby koordinátora bezpečnosti a ochrany zdraví při práci podle jiných právních předpisů</w:t>
      </w:r>
    </w:p>
    <w:p>
      <w:pPr>
        <w:pStyle w:val="ListParagraph"/>
        <w:ind w:left="1068" w:firstLine="348"/>
        <w:jc w:val="both"/>
        <w:rPr/>
      </w:pPr>
      <w:r>
        <w:rPr/>
        <w:t xml:space="preserve">Při stavební činnosti budou respektována nařízení o provádění stavebních prací v příslušných ochranných pásmech. </w:t>
      </w:r>
    </w:p>
    <w:p>
      <w:pPr>
        <w:pStyle w:val="ListParagraph"/>
        <w:ind w:left="1068" w:firstLine="348"/>
        <w:jc w:val="both"/>
        <w:rPr/>
      </w:pPr>
      <w:r>
        <w:rPr/>
        <w:t xml:space="preserve">Stavební a montážní práce musí být prováděny v souladu s ustanovením předpisů o bezpečnosti práce, jmenovitě nařízením vlády číslo 591/2006 Sb., požadavky na bezpečnost a ochranu zdraví při práci na staveništích a zákonem číslo 309/2006 Sb., zajištění dalších podmínek bezpečnosti a ochrany zdraví při práci a dále jak je uvedeno v příslušných částech stavebního řešení projektové dokumentace. </w:t>
      </w:r>
    </w:p>
    <w:p>
      <w:pPr>
        <w:pStyle w:val="ListParagraph"/>
        <w:ind w:left="1068" w:firstLine="348"/>
        <w:jc w:val="both"/>
        <w:rPr/>
      </w:pPr>
      <w:r>
        <w:rPr/>
        <w:t xml:space="preserve">Montážní práce budou provedeny dle technologie předepsané dodavatelem a smí být zahájeny pouze po náležitém převzetí montážního pracoviště fyzickou osobou určenou k řízení montážních prací a odpovědnou za jejich provádění. O předání montážního pracoviště se vyhotoví písemný záznam. Zhotovitel montážních prací zajistí, aby montážní pracoviště umožňovalo bezpečné provádění montážních prací bez ohrožení fyzických osob a konstrukcí a splňovalo požadavky stanovené v příloze číslo 1 nařízení vlády 591/2006 Sb. </w:t>
      </w:r>
    </w:p>
    <w:p>
      <w:pPr>
        <w:pStyle w:val="ListParagraph"/>
        <w:ind w:left="1068" w:firstLine="348"/>
        <w:jc w:val="both"/>
        <w:rPr/>
      </w:pPr>
      <w:r>
        <w:rPr/>
        <w:t xml:space="preserve">Stavba bude provedena v souladu s ustanovením ČSN 73 6005, zákona číslo 17/1992 Sb., zákona číslo 388/1991 Sb., nařízení vlády číslo 61/2003 Sb., zákona číslo 185/2001 Sb., zákona číslo 201/2012 Sb., zákona číslo 86/1992 Sb., ve znění pozdějších předpisů a nařízení, jakož předpisů souvisejících. </w:t>
      </w:r>
    </w:p>
    <w:p>
      <w:pPr>
        <w:pStyle w:val="ListParagraph"/>
        <w:ind w:left="1068" w:firstLine="348"/>
        <w:jc w:val="both"/>
        <w:rPr>
          <w:b/>
          <w:b/>
        </w:rPr>
      </w:pPr>
      <w:r>
        <w:rPr/>
        <w:t>Zařízení staveniště musí splňovat požadavky nařízení vlády číslo 361/2007 Sb., a zákona číslo 262/2006 Sb., Zákoník práce v úplném znění.</w:t>
      </w:r>
    </w:p>
    <w:p>
      <w:pPr>
        <w:pStyle w:val="ListParagraph"/>
        <w:ind w:left="1068" w:hanging="0"/>
        <w:jc w:val="both"/>
        <w:rPr>
          <w:b/>
          <w:b/>
        </w:rPr>
      </w:pPr>
      <w:r>
        <w:rPr>
          <w:b/>
        </w:rPr>
      </w:r>
    </w:p>
    <w:p>
      <w:pPr>
        <w:pStyle w:val="ListParagraph"/>
        <w:numPr>
          <w:ilvl w:val="0"/>
          <w:numId w:val="15"/>
        </w:numPr>
        <w:jc w:val="both"/>
        <w:rPr/>
      </w:pPr>
      <w:r>
        <w:rPr>
          <w:b/>
        </w:rPr>
        <w:t>úpravy pro bezbariérové užívání výstavbou dotčených staveb</w:t>
      </w:r>
    </w:p>
    <w:p>
      <w:pPr>
        <w:pStyle w:val="ListParagraph"/>
        <w:ind w:left="1068" w:hanging="0"/>
        <w:jc w:val="both"/>
        <w:rPr/>
      </w:pPr>
      <w:r>
        <w:rPr/>
        <w:t>Projekt řeší přístavbu výtahu k objektu obchodní akademie v Plzni. Cílem návrhu je zajištění bezbariérovosti do všech podlaží. Dále se jedná o návrh nového wc ve 4. nadzemním podlaží pro osoby se sníženou schopností pohybu a orientace.</w:t>
      </w:r>
    </w:p>
    <w:p>
      <w:pPr>
        <w:pStyle w:val="ListParagraph"/>
        <w:ind w:left="1068" w:hanging="0"/>
        <w:jc w:val="both"/>
        <w:rPr/>
      </w:pPr>
      <w:r>
        <w:rPr/>
      </w:r>
    </w:p>
    <w:p>
      <w:pPr>
        <w:pStyle w:val="ListParagraph"/>
        <w:numPr>
          <w:ilvl w:val="0"/>
          <w:numId w:val="15"/>
        </w:numPr>
        <w:jc w:val="both"/>
        <w:rPr>
          <w:b/>
          <w:b/>
        </w:rPr>
      </w:pPr>
      <w:r>
        <w:rPr>
          <w:b/>
        </w:rPr>
        <w:t>zásady pro dopravně inženýrské opatření</w:t>
      </w:r>
    </w:p>
    <w:p>
      <w:pPr>
        <w:pStyle w:val="Normal"/>
        <w:ind w:left="360" w:firstLine="708"/>
        <w:rPr/>
      </w:pPr>
      <w:r>
        <w:rPr/>
        <w:t>Stávající přípojky nebudou stavbou dotčeny.</w:t>
      </w:r>
    </w:p>
    <w:p>
      <w:pPr>
        <w:pStyle w:val="Normal"/>
        <w:ind w:left="360" w:firstLine="708"/>
        <w:rPr/>
      </w:pPr>
      <w:r>
        <w:rPr/>
      </w:r>
    </w:p>
    <w:p>
      <w:pPr>
        <w:pStyle w:val="Normal"/>
        <w:ind w:left="360" w:firstLine="708"/>
        <w:rPr/>
      </w:pPr>
      <w:r>
        <w:rPr/>
      </w:r>
    </w:p>
    <w:p>
      <w:pPr>
        <w:pStyle w:val="ListParagraph"/>
        <w:ind w:left="1068" w:hanging="0"/>
        <w:jc w:val="both"/>
        <w:rPr/>
      </w:pPr>
      <w:r>
        <w:rPr/>
      </w:r>
    </w:p>
    <w:p>
      <w:pPr>
        <w:pStyle w:val="ListParagraph"/>
        <w:numPr>
          <w:ilvl w:val="0"/>
          <w:numId w:val="15"/>
        </w:numPr>
        <w:jc w:val="both"/>
        <w:rPr/>
      </w:pPr>
      <w:r>
        <w:rPr>
          <w:b/>
        </w:rPr>
        <w:t>stanovení speciálních podmínek pro provádění stavby (provádění stavby za provozu, opatření proti účinkům vnějšího prostředí při výstavbě apod.)</w:t>
      </w:r>
    </w:p>
    <w:p>
      <w:pPr>
        <w:pStyle w:val="ListParagraph"/>
        <w:ind w:left="1068" w:firstLine="348"/>
        <w:jc w:val="both"/>
        <w:rPr/>
      </w:pPr>
      <w:r>
        <w:rPr/>
        <w:t xml:space="preserve">Zázemí pro stavební zaměstnance bude v provizorních objektech zařízení staveniště. Ostatní zařízení staveniště (stavební dvůr) bude umístěno na pozemku budoucího objektu tak, aby nezasahovalo do veřejných komunikací ani sousedních pozemků. Přesné podmínky zajišťující výstavbu budou stanoveny územním rozhodnutím. </w:t>
      </w:r>
    </w:p>
    <w:p>
      <w:pPr>
        <w:pStyle w:val="ListParagraph"/>
        <w:ind w:left="1068" w:hanging="0"/>
        <w:jc w:val="both"/>
        <w:rPr/>
      </w:pPr>
      <w:r>
        <w:rPr/>
        <w:t xml:space="preserve"> </w:t>
      </w:r>
      <w:r>
        <w:rPr/>
        <w:tab/>
        <w:t>Při výstavbě budou respektovány všechny hygienické předpisy, zejména ochrana před hlukem, vibracemi, otřesy a ochrana před prachem. Stavba bude citlivě realizována tak, aby negativně neovlivnila prostředí okolních objektů. Stavební práce budou probíhat od 7 do 18 hodin, přičemž nesmí být překročena nejvyšší ekvivalentní hladina akustického tlaku s korekcí danou nařízením vlády číslo 272/2011 Sb., o ochraně zdraví před nepříznivými účinky hluku a vibrací.</w:t>
      </w:r>
    </w:p>
    <w:p>
      <w:pPr>
        <w:pStyle w:val="ListParagraph"/>
        <w:ind w:left="1068" w:hanging="0"/>
        <w:jc w:val="both"/>
        <w:rPr/>
      </w:pPr>
      <w:r>
        <w:rPr/>
      </w:r>
    </w:p>
    <w:p>
      <w:pPr>
        <w:pStyle w:val="ListParagraph"/>
        <w:numPr>
          <w:ilvl w:val="0"/>
          <w:numId w:val="15"/>
        </w:numPr>
        <w:jc w:val="both"/>
        <w:rPr>
          <w:b/>
          <w:b/>
        </w:rPr>
      </w:pPr>
      <w:r>
        <w:rPr>
          <w:b/>
        </w:rPr>
        <w:t>postup výstavby, rozhodující dílčí termíny</w:t>
      </w:r>
    </w:p>
    <w:p>
      <w:pPr>
        <w:pStyle w:val="ListParagraph"/>
        <w:ind w:left="1068" w:firstLine="348"/>
        <w:jc w:val="both"/>
        <w:rPr/>
      </w:pPr>
      <w:r>
        <w:rPr/>
        <w:t>Jedná se o stavbu malého rozsahu, která bude prováděna oprávněnou stavební firmou. Stavební firma (stavební podnikatel) bude vybrána na základě výběrového řízení investora akce. Název a adresa odborné firmy (stavebního podnikatele), která bude realizovat stavbu, včetně jména a adresy osoby, která bude vykonávat odborný dozor nad prováděním prací, bude sdělena písemně příslušnému stavebnímu úřadu – odboru výstavby 3 týdny před započetím prací. Výstavba bude probíhat v jednom časovém úseku bez přerušení.</w:t>
      </w:r>
    </w:p>
    <w:p>
      <w:pPr>
        <w:pStyle w:val="Normal"/>
        <w:jc w:val="both"/>
        <w:rPr/>
      </w:pPr>
      <w:r>
        <w:rPr/>
      </w:r>
    </w:p>
    <w:p>
      <w:pPr>
        <w:sectPr>
          <w:headerReference w:type="default" r:id="rId2"/>
          <w:headerReference w:type="first" r:id="rId3"/>
          <w:footerReference w:type="default" r:id="rId4"/>
          <w:type w:val="nextPage"/>
          <w:pgSz w:w="11906" w:h="16838"/>
          <w:pgMar w:left="1417" w:right="1417" w:header="708" w:top="1417" w:footer="708" w:bottom="1417" w:gutter="0"/>
          <w:pgNumType w:fmt="decimal"/>
          <w:formProt w:val="false"/>
          <w:titlePg/>
          <w:textDirection w:val="lrTb"/>
          <w:docGrid w:type="default" w:linePitch="360" w:charSpace="2047"/>
        </w:sectPr>
      </w:pPr>
    </w:p>
    <w:p>
      <w:pPr>
        <w:pStyle w:val="Normal"/>
        <w:ind w:left="360" w:firstLine="708"/>
        <w:jc w:val="both"/>
        <w:rPr>
          <w:u w:val="single"/>
        </w:rPr>
      </w:pPr>
      <w:r>
        <w:rPr>
          <w:u w:val="single"/>
        </w:rPr>
        <w:t>Postup výstavby</w:t>
      </w:r>
    </w:p>
    <w:p>
      <w:pPr>
        <w:pStyle w:val="Normal"/>
        <w:ind w:left="360" w:firstLine="708"/>
        <w:jc w:val="both"/>
        <w:rPr/>
      </w:pPr>
      <w:r>
        <w:rPr/>
        <w:t>1.</w:t>
        <w:tab/>
        <w:t xml:space="preserve">Příprava území – zařízení staveniště </w:t>
      </w:r>
    </w:p>
    <w:p>
      <w:pPr>
        <w:pStyle w:val="Normal"/>
        <w:ind w:left="360" w:firstLine="708"/>
        <w:jc w:val="both"/>
        <w:rPr/>
      </w:pPr>
      <w:r>
        <w:rPr/>
        <w:t>2.</w:t>
        <w:tab/>
        <w:t xml:space="preserve">Výkopy </w:t>
      </w:r>
    </w:p>
    <w:p>
      <w:pPr>
        <w:pStyle w:val="Normal"/>
        <w:ind w:left="360" w:firstLine="708"/>
        <w:jc w:val="both"/>
        <w:rPr/>
      </w:pPr>
      <w:r>
        <w:rPr/>
        <w:t>3.</w:t>
        <w:tab/>
        <w:t>Základy</w:t>
      </w:r>
    </w:p>
    <w:p>
      <w:pPr>
        <w:pStyle w:val="Normal"/>
        <w:ind w:left="360" w:firstLine="708"/>
        <w:jc w:val="both"/>
        <w:rPr/>
      </w:pPr>
      <w:r>
        <w:rPr/>
        <w:t>4.</w:t>
        <w:tab/>
        <w:t xml:space="preserve">Hrubá stavba </w:t>
      </w:r>
    </w:p>
    <w:p>
      <w:pPr>
        <w:pStyle w:val="Normal"/>
        <w:ind w:left="360" w:firstLine="708"/>
        <w:jc w:val="both"/>
        <w:rPr/>
      </w:pPr>
      <w:r>
        <w:rPr/>
        <w:t>5.</w:t>
        <w:tab/>
        <w:t xml:space="preserve">Instalace a rozvody </w:t>
      </w:r>
    </w:p>
    <w:p>
      <w:pPr>
        <w:pStyle w:val="Normal"/>
        <w:ind w:left="360" w:firstLine="708"/>
        <w:jc w:val="both"/>
        <w:rPr/>
      </w:pPr>
      <w:r>
        <w:rPr/>
        <w:t>6.</w:t>
        <w:tab/>
        <w:t xml:space="preserve">Dokončovací práce – kompletace </w:t>
      </w:r>
    </w:p>
    <w:p>
      <w:pPr>
        <w:pStyle w:val="Normal"/>
        <w:ind w:left="360" w:firstLine="708"/>
        <w:jc w:val="both"/>
        <w:rPr/>
      </w:pPr>
      <w:r>
        <w:rPr/>
        <w:t>7.</w:t>
        <w:tab/>
        <w:t xml:space="preserve">Likvidace zařízení staveniště </w:t>
      </w:r>
    </w:p>
    <w:p>
      <w:pPr>
        <w:pStyle w:val="Normal"/>
        <w:ind w:left="360" w:firstLine="708"/>
        <w:jc w:val="both"/>
        <w:rPr/>
      </w:pPr>
      <w:r>
        <w:rPr/>
        <w:t>8.</w:t>
        <w:tab/>
        <w:t xml:space="preserve">Dokončovací práce – revize Během </w:t>
        <w:tab/>
        <w:tab/>
        <w:t xml:space="preserve">těchto prací budou probíhat stavební </w:t>
        <w:tab/>
        <w:tab/>
        <w:t xml:space="preserve">úpravy a modernizace učeben, </w:t>
        <w:tab/>
        <w:tab/>
        <w:t xml:space="preserve">kabinetů a práce na nově navržené </w:t>
        <w:tab/>
        <w:tab/>
        <w:t xml:space="preserve">toaletě pro osoby se sníženou </w:t>
        <w:tab/>
        <w:tab/>
        <w:t>schopností pohybu a orientace.</w:t>
      </w:r>
    </w:p>
    <w:p>
      <w:pPr>
        <w:pStyle w:val="Normal"/>
        <w:ind w:left="360" w:firstLine="708"/>
        <w:jc w:val="both"/>
        <w:rPr/>
      </w:pPr>
      <w:r>
        <w:rPr/>
      </w:r>
    </w:p>
    <w:p>
      <w:pPr>
        <w:pStyle w:val="Normal"/>
        <w:ind w:left="1068" w:hanging="0"/>
        <w:jc w:val="both"/>
        <w:rPr/>
      </w:pPr>
      <w:r>
        <w:rPr/>
        <w:t>9.</w:t>
        <w:tab/>
        <w:t>Kolaudace</w:t>
      </w:r>
    </w:p>
    <w:p>
      <w:pPr>
        <w:pStyle w:val="Normal"/>
        <w:ind w:left="1068" w:hanging="0"/>
        <w:jc w:val="both"/>
        <w:rPr/>
      </w:pPr>
      <w:r>
        <w:rPr/>
      </w:r>
    </w:p>
    <w:p>
      <w:pPr>
        <w:pStyle w:val="Normal"/>
        <w:ind w:left="1068" w:hanging="0"/>
        <w:jc w:val="both"/>
        <w:rPr/>
      </w:pPr>
      <w:bookmarkStart w:id="48" w:name="__DdeLink__5393_611882462"/>
      <w:r>
        <w:rPr/>
        <w:t>Plán kontrolních prohlídek stavby:</w:t>
      </w:r>
    </w:p>
    <w:p>
      <w:pPr>
        <w:pStyle w:val="Normal"/>
        <w:ind w:left="1068" w:hanging="0"/>
        <w:jc w:val="both"/>
        <w:rPr/>
      </w:pPr>
      <w:r>
        <w:rPr/>
      </w:r>
    </w:p>
    <w:p>
      <w:pPr>
        <w:pStyle w:val="Normal"/>
        <w:ind w:left="1068" w:hanging="0"/>
        <w:jc w:val="both"/>
        <w:rPr/>
      </w:pPr>
      <w:r>
        <w:rPr/>
        <w:t>1. Kontrolní prohlídka po provedení bouracích prací</w:t>
      </w:r>
    </w:p>
    <w:p>
      <w:pPr>
        <w:pStyle w:val="Normal"/>
        <w:ind w:left="1068" w:hanging="0"/>
        <w:jc w:val="both"/>
        <w:rPr/>
      </w:pPr>
      <w:r>
        <w:rPr/>
        <w:t>2. Kontrolní prohlídka po provedení výtahové šachty a rozvodů instalací</w:t>
      </w:r>
    </w:p>
    <w:p>
      <w:pPr>
        <w:pStyle w:val="Normal"/>
        <w:ind w:left="1068" w:hanging="0"/>
        <w:jc w:val="both"/>
        <w:rPr/>
      </w:pPr>
      <w:bookmarkStart w:id="49" w:name="__DdeLink__5393_611882462"/>
      <w:bookmarkEnd w:id="49"/>
      <w:r>
        <w:rPr/>
        <w:t xml:space="preserve">3. Závěrečná kontrolní prohlídka stavby </w:t>
      </w:r>
    </w:p>
    <w:p>
      <w:pPr>
        <w:pStyle w:val="Normal"/>
        <w:rPr/>
      </w:pPr>
      <w:r>
        <w:br w:type="column"/>
      </w:r>
      <w:r>
        <w:rPr>
          <w:u w:val="single"/>
        </w:rPr>
        <w:t>Rozhodující termíny výstavby</w:t>
      </w:r>
    </w:p>
    <w:p>
      <w:pPr>
        <w:pStyle w:val="Normal"/>
        <w:ind w:left="360" w:firstLine="708"/>
        <w:jc w:val="both"/>
        <w:rPr/>
      </w:pPr>
      <w:r>
        <w:rPr/>
        <w:t>Datum zahájení výstavby: 08/2017</w:t>
      </w:r>
    </w:p>
    <w:p>
      <w:pPr>
        <w:pStyle w:val="Normal"/>
        <w:ind w:left="360" w:firstLine="708"/>
        <w:jc w:val="both"/>
        <w:rPr/>
      </w:pPr>
      <w:r>
        <w:rPr/>
        <w:t>Datum ukončení výstavby: 12/2017</w:t>
      </w:r>
    </w:p>
    <w:p>
      <w:pPr>
        <w:pStyle w:val="Normal"/>
        <w:jc w:val="both"/>
        <w:rPr/>
      </w:pPr>
      <w:r>
        <w:rPr/>
      </w:r>
    </w:p>
    <w:p>
      <w:pPr>
        <w:pStyle w:val="Normal"/>
        <w:jc w:val="both"/>
        <w:rPr/>
      </w:pPr>
      <w:r>
        <w:rPr/>
      </w:r>
    </w:p>
    <w:p>
      <w:pPr>
        <w:pStyle w:val="Normal"/>
        <w:jc w:val="both"/>
        <w:rPr/>
      </w:pPr>
      <w:r>
        <w:rPr/>
      </w:r>
    </w:p>
    <w:p>
      <w:pPr>
        <w:pStyle w:val="Normal"/>
        <w:jc w:val="both"/>
        <w:rPr/>
      </w:pPr>
      <w:r>
        <w:rPr/>
      </w:r>
    </w:p>
    <w:p>
      <w:pPr>
        <w:pStyle w:val="Normal"/>
        <w:jc w:val="both"/>
        <w:rPr/>
      </w:pPr>
      <w:r>
        <w:rPr/>
      </w:r>
    </w:p>
    <w:p>
      <w:pPr>
        <w:sectPr>
          <w:type w:val="continuous"/>
          <w:pgSz w:w="11906" w:h="16838"/>
          <w:pgMar w:left="1417" w:right="1417" w:header="708" w:top="1417" w:footer="708" w:bottom="1417" w:gutter="0"/>
          <w:cols w:num="2" w:space="708" w:equalWidth="true" w:sep="false"/>
          <w:formProt w:val="false"/>
          <w:textDirection w:val="lrTb"/>
          <w:docGrid w:type="default" w:linePitch="360" w:charSpace="2047"/>
        </w:sectPr>
      </w:pP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V Plzni dne 6.4.2017</w:t>
        <w:tab/>
        <w:tab/>
        <w:tab/>
        <w:tab/>
        <w:tab/>
        <w:tab/>
        <w:t>Vypracoval:</w:t>
        <w:tab/>
        <w:t>Ing. Václav Šístek</w:t>
      </w:r>
    </w:p>
    <w:p>
      <w:pPr>
        <w:pStyle w:val="Normal"/>
        <w:jc w:val="both"/>
        <w:rPr/>
      </w:pPr>
      <w:r>
        <w:rPr/>
        <w:tab/>
        <w:tab/>
        <w:tab/>
        <w:tab/>
        <w:tab/>
        <w:tab/>
        <w:tab/>
        <w:tab/>
        <w:tab/>
        <w:tab/>
        <w:t>Ing. Renata Böhmová</w:t>
      </w:r>
    </w:p>
    <w:sectPr>
      <w:type w:val="continuous"/>
      <w:pgSz w:w="11906" w:h="16838"/>
      <w:pgMar w:left="1417" w:right="1417" w:header="708" w:top="1417" w:footer="708" w:bottom="1417"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Narrow">
    <w:charset w:val="ee"/>
    <w:family w:val="roman"/>
    <w:pitch w:val="variable"/>
  </w:font>
  <w:font w:name="Calibri Light">
    <w:charset w:val="ee"/>
    <w:family w:val="roman"/>
    <w:pitch w:val="variable"/>
  </w:font>
  <w:font w:name="Segoe UI">
    <w:charset w:val="ee"/>
    <w:family w:val="roman"/>
    <w:pitch w:val="variable"/>
  </w:font>
  <w:font w:name="Liberation Sans">
    <w:altName w:val="Arial"/>
    <w:charset w:val="ee"/>
    <w:family w:val="roman"/>
    <w:pitch w:val="variable"/>
  </w:font>
  <w:font w:name="Arial">
    <w:charset w:val="ee"/>
    <w:family w:val="roman"/>
    <w:pitch w:val="variable"/>
  </w:font>
  <w:font w:name="Bookman Old Style">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529401619"/>
    </w:sdtPr>
    <w:sdtContent>
      <w:p>
        <w:pPr>
          <w:pStyle w:val="Zpat"/>
          <w:jc w:val="center"/>
          <w:rPr/>
        </w:pPr>
        <w:r>
          <w:rPr/>
          <w:fldChar w:fldCharType="begin"/>
        </w:r>
        <w:r>
          <w:instrText> PAGE </w:instrText>
        </w:r>
        <w:r>
          <w:fldChar w:fldCharType="separate"/>
        </w:r>
        <w:r>
          <w:t>9</w:t>
        </w:r>
        <w:r>
          <w:fldChar w:fldCharType="end"/>
        </w:r>
      </w:p>
    </w:sdtContent>
  </w:sdt>
  <w:p>
    <w:pPr>
      <w:pStyle w:val="Zpat"/>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Zhlav"/>
      <w:tabs>
        <w:tab w:val="center" w:pos="4536" w:leader="none"/>
        <w:tab w:val="right" w:pos="9072" w:leader="none"/>
        <w:tab w:val="right" w:pos="9923" w:leader="none"/>
      </w:tabs>
      <w:ind w:left="720" w:hanging="0"/>
      <w:jc w:val="right"/>
      <w:rPr>
        <w:color w:val="A6A6A6" w:themeColor="background1" w:themeShade="a6"/>
        <w:sz w:val="18"/>
        <w:szCs w:val="18"/>
      </w:rPr>
    </w:pPr>
    <w:r>
      <w:rPr>
        <w:color w:val="A6A6A6" w:themeColor="background1" w:themeShade="a6"/>
        <w:sz w:val="18"/>
        <w:szCs w:val="18"/>
      </w:rPr>
      <w:t>B Souhrnná technická zpráva</w:t>
    </w:r>
  </w:p>
  <w:p>
    <w:pPr>
      <w:pStyle w:val="Zhlav"/>
      <w:tabs>
        <w:tab w:val="center" w:pos="4536" w:leader="none"/>
        <w:tab w:val="right" w:pos="9072" w:leader="none"/>
        <w:tab w:val="right" w:pos="9923" w:leader="none"/>
      </w:tabs>
      <w:ind w:left="720" w:hanging="0"/>
      <w:jc w:val="right"/>
      <w:rPr>
        <w:color w:val="A6A6A6" w:themeColor="background1" w:themeShade="a6"/>
        <w:sz w:val="18"/>
        <w:szCs w:val="18"/>
      </w:rPr>
    </w:pPr>
    <w:r>
      <w:rPr>
        <w:color w:val="A6A6A6" w:themeColor="background1" w:themeShade="a6"/>
        <w:sz w:val="18"/>
        <w:szCs w:val="18"/>
      </w:rPr>
      <w:t>Zajištění bezbariérového přístupu + rekonstrukce učeben v budově obchodní akademie v Plzni</w:t>
    </w:r>
  </w:p>
  <w:p>
    <w:pPr>
      <w:pStyle w:val="Zhlav"/>
      <w:tabs>
        <w:tab w:val="center" w:pos="4536" w:leader="none"/>
        <w:tab w:val="right" w:pos="9072" w:leader="none"/>
        <w:tab w:val="right" w:pos="9923" w:leader="none"/>
      </w:tabs>
      <w:ind w:left="720" w:hanging="0"/>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Zhlav"/>
      <w:tabs>
        <w:tab w:val="center" w:pos="4536" w:leader="none"/>
        <w:tab w:val="right" w:pos="9072" w:leader="none"/>
        <w:tab w:val="right" w:pos="9923" w:leader="none"/>
      </w:tabs>
      <w:ind w:left="720" w:hanging="0"/>
      <w:jc w:val="right"/>
      <w:rPr>
        <w:color w:val="A6A6A6" w:themeColor="background1" w:themeShade="a6"/>
        <w:sz w:val="18"/>
        <w:szCs w:val="18"/>
      </w:rPr>
    </w:pPr>
    <w:r>
      <w:rPr>
        <w:color w:val="A6A6A6" w:themeColor="background1" w:themeShade="a6"/>
        <w:sz w:val="18"/>
        <w:szCs w:val="18"/>
      </w:rPr>
      <w:t>B Souhrnná technická zpráva</w:t>
    </w:r>
  </w:p>
  <w:p>
    <w:pPr>
      <w:pStyle w:val="Zhlav"/>
      <w:tabs>
        <w:tab w:val="center" w:pos="4536" w:leader="none"/>
        <w:tab w:val="right" w:pos="9072" w:leader="none"/>
        <w:tab w:val="right" w:pos="9923" w:leader="none"/>
      </w:tabs>
      <w:ind w:left="720" w:hanging="0"/>
      <w:jc w:val="right"/>
      <w:rPr>
        <w:color w:val="A6A6A6" w:themeColor="background1" w:themeShade="a6"/>
        <w:sz w:val="18"/>
        <w:szCs w:val="18"/>
      </w:rPr>
    </w:pPr>
    <w:r>
      <w:rPr>
        <w:color w:val="A6A6A6" w:themeColor="background1" w:themeShade="a6"/>
        <w:sz w:val="18"/>
        <w:szCs w:val="18"/>
      </w:rPr>
      <w:t>Zajištění bezbariérového přístupu + rekonstrukce učeben v budově obchodní akademie v Plzni</w:t>
    </w:r>
  </w:p>
  <w:p>
    <w:pPr>
      <w:pStyle w:val="Zhlav"/>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1843" w:hanging="1843"/>
      </w:pPr>
      <w:rPr>
        <w:sz w:val="22"/>
      </w:rPr>
    </w:lvl>
    <w:lvl w:ilvl="1">
      <w:start w:val="1"/>
      <w:numFmt w:val="decimal"/>
      <w:suff w:val="space"/>
      <w:lvlText w:val="B.%2"/>
      <w:lvlJc w:val="left"/>
      <w:pPr>
        <w:ind w:left="964" w:hanging="680"/>
      </w:pPr>
      <w:rPr>
        <w:sz w:val="22"/>
      </w:rPr>
    </w:lvl>
    <w:lvl w:ilvl="2">
      <w:start w:val="1"/>
      <w:numFmt w:val="decimal"/>
      <w:suff w:val="space"/>
      <w:lvlText w:val="B.%2.%3"/>
      <w:lvlJc w:val="left"/>
      <w:pPr>
        <w:ind w:left="1474" w:hanging="907"/>
      </w:pPr>
      <w:rPr>
        <w:sz w:val="22"/>
      </w:rPr>
    </w:lvl>
    <w:lvl w:ilvl="3">
      <w:start w:val="1"/>
      <w:numFmt w:val="decimal"/>
      <w:lvlText w:val="B.%3.%41."/>
      <w:lvlJc w:val="left"/>
      <w:pPr>
        <w:tabs>
          <w:tab w:val="num" w:pos="2865"/>
        </w:tabs>
        <w:ind w:left="4168" w:hanging="3317"/>
      </w:pPr>
      <w:rPr>
        <w:sz w:val="22"/>
      </w:rPr>
    </w:lvl>
    <w:lvl w:ilvl="4">
      <w:start w:val="1"/>
      <w:numFmt w:val="decimal"/>
      <w:suff w:val="space"/>
      <w:lvlText w:val="B.%51.1.1."/>
      <w:lvlJc w:val="left"/>
      <w:pPr>
        <w:ind w:left="4281" w:hanging="3147"/>
      </w:pPr>
      <w:rPr>
        <w:sz w:val="22"/>
        <w:i w:val="false"/>
        <w:b w:val="false"/>
      </w:rPr>
    </w:lvl>
    <w:lvl w:ilvl="5">
      <w:start w:val="1"/>
      <w:numFmt w:val="upperRoman"/>
      <w:suff w:val="space"/>
      <w:lvlText w:val="%6)"/>
      <w:lvlJc w:val="left"/>
      <w:pPr>
        <w:ind w:left="3373" w:hanging="1247"/>
      </w:pPr>
      <w:rPr>
        <w:sz w:val="22"/>
        <w:i w:val="false"/>
        <w:b/>
      </w:rPr>
    </w:lvl>
    <w:lvl w:ilvl="6">
      <w:start w:val="1"/>
      <w:numFmt w:val="lowerLetter"/>
      <w:suff w:val="space"/>
      <w:lvlText w:val="%7."/>
      <w:lvlJc w:val="left"/>
      <w:pPr>
        <w:ind w:left="3317" w:hanging="624"/>
      </w:pPr>
      <w:rPr>
        <w:b/>
      </w:rPr>
    </w:lvl>
    <w:lvl w:ilvl="7">
      <w:start w:val="1"/>
      <w:numFmt w:val="decimal"/>
      <w:lvlText w:val="%7.%8"/>
      <w:lvlJc w:val="left"/>
      <w:pPr>
        <w:tabs>
          <w:tab w:val="num" w:pos="4001"/>
        </w:tabs>
        <w:ind w:left="3831" w:hanging="0"/>
      </w:pPr>
    </w:lvl>
    <w:lvl w:ilvl="8">
      <w:start w:val="1"/>
      <w:numFmt w:val="lowerRoman"/>
      <w:lvlText w:val="%9."/>
      <w:lvlJc w:val="left"/>
      <w:pPr>
        <w:tabs>
          <w:tab w:val="num" w:pos="4285"/>
        </w:tabs>
        <w:ind w:left="4115" w:hanging="0"/>
      </w:pPr>
    </w:lvl>
  </w:abstractNum>
  <w:abstractNum w:abstractNumI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4">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5">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2">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3">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4">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5">
    <w:lvl w:ilvl="0">
      <w:start w:val="1"/>
      <w:numFmt w:val="lowerLetter"/>
      <w:lvlText w:val="%1)"/>
      <w:lvlJc w:val="left"/>
      <w:pPr>
        <w:ind w:left="1068" w:hanging="360"/>
      </w:pPr>
      <w:rPr>
        <w:b/>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6">
    <w:lvl w:ilvl="0">
      <w:start w:val="1"/>
      <w:numFmt w:val="none"/>
      <w:suff w:val="nothing"/>
      <w:lvlText w:val=" "/>
      <w:lvlJc w:val="left"/>
      <w:pPr>
        <w:ind w:left="1843" w:hanging="1843"/>
      </w:pPr>
      <w:rPr>
        <w:sz w:val="22"/>
      </w:rPr>
    </w:lvl>
    <w:lvl w:ilvl="1">
      <w:start w:val="1"/>
      <w:numFmt w:val="decimal"/>
      <w:suff w:val="space"/>
      <w:lvlText w:val="B.%2"/>
      <w:lvlJc w:val="left"/>
      <w:pPr>
        <w:ind w:left="964" w:hanging="680"/>
      </w:pPr>
      <w:rPr>
        <w:sz w:val="22"/>
      </w:rPr>
    </w:lvl>
    <w:lvl w:ilvl="2">
      <w:start w:val="1"/>
      <w:numFmt w:val="decimal"/>
      <w:suff w:val="space"/>
      <w:lvlText w:val="B.%2.%3"/>
      <w:lvlJc w:val="left"/>
      <w:pPr>
        <w:ind w:left="1474" w:hanging="907"/>
      </w:pPr>
      <w:rPr>
        <w:sz w:val="22"/>
      </w:rPr>
    </w:lvl>
    <w:lvl w:ilvl="3">
      <w:start w:val="1"/>
      <w:numFmt w:val="decimal"/>
      <w:lvlText w:val="B.%3.%41."/>
      <w:lvlJc w:val="left"/>
      <w:pPr>
        <w:tabs>
          <w:tab w:val="num" w:pos="2865"/>
        </w:tabs>
        <w:ind w:left="4168" w:hanging="3317"/>
      </w:pPr>
      <w:rPr>
        <w:sz w:val="22"/>
      </w:rPr>
    </w:lvl>
    <w:lvl w:ilvl="4">
      <w:start w:val="1"/>
      <w:numFmt w:val="decimal"/>
      <w:suff w:val="space"/>
      <w:lvlText w:val="B.%51.1.1."/>
      <w:lvlJc w:val="left"/>
      <w:pPr>
        <w:ind w:left="4281" w:hanging="3147"/>
      </w:pPr>
      <w:rPr>
        <w:sz w:val="22"/>
        <w:i w:val="false"/>
        <w:b w:val="false"/>
      </w:rPr>
    </w:lvl>
    <w:lvl w:ilvl="5">
      <w:start w:val="1"/>
      <w:numFmt w:val="upperRoman"/>
      <w:suff w:val="space"/>
      <w:lvlText w:val="%6)"/>
      <w:lvlJc w:val="left"/>
      <w:pPr>
        <w:ind w:left="3373" w:hanging="1247"/>
      </w:pPr>
      <w:rPr>
        <w:sz w:val="22"/>
        <w:i w:val="false"/>
        <w:b/>
      </w:rPr>
    </w:lvl>
    <w:lvl w:ilvl="6">
      <w:start w:val="1"/>
      <w:numFmt w:val="lowerLetter"/>
      <w:suff w:val="space"/>
      <w:lvlText w:val="%7."/>
      <w:lvlJc w:val="left"/>
      <w:pPr>
        <w:ind w:left="3317" w:hanging="624"/>
      </w:pPr>
      <w:rPr>
        <w:b/>
      </w:rPr>
    </w:lvl>
    <w:lvl w:ilvl="7">
      <w:start w:val="1"/>
      <w:numFmt w:val="decimal"/>
      <w:lvlText w:val="%7.%8"/>
      <w:lvlJc w:val="left"/>
      <w:pPr>
        <w:tabs>
          <w:tab w:val="num" w:pos="4001"/>
        </w:tabs>
        <w:ind w:left="3831" w:hanging="0"/>
      </w:pPr>
    </w:lvl>
    <w:lvl w:ilvl="8">
      <w:start w:val="1"/>
      <w:numFmt w:val="lowerRoman"/>
      <w:lvlText w:val="%9."/>
      <w:lvlJc w:val="left"/>
      <w:pPr>
        <w:tabs>
          <w:tab w:val="num" w:pos="4285"/>
        </w:tabs>
        <w:ind w:left="4115" w:hanging="0"/>
      </w:pPr>
    </w:lvl>
  </w:abstractNum>
  <w:abstractNum w:abstractNumId="1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30"/>
  <w:defaultTabStop w:val="708"/>
  <w:autoHyphenation w:val="false"/>
  <w:compat/>
  <w:themeFontLang w:val="cs-CZ"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cs-CZ" w:eastAsia="en-US" w:bidi="ar-SA"/>
      </w:rPr>
    </w:rPrDefault>
    <w:pPrDefault>
      <w:pPr>
        <w:spacing w:lineRule="auto" w:line="259"/>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b5786"/>
    <w:pPr>
      <w:widowControl/>
      <w:suppressAutoHyphens w:val="true"/>
      <w:bidi w:val="0"/>
      <w:spacing w:lineRule="auto" w:line="240"/>
      <w:jc w:val="left"/>
    </w:pPr>
    <w:rPr>
      <w:rFonts w:ascii="Arial Narrow" w:hAnsi="Arial Narrow" w:eastAsia="Times New Roman" w:cs="Arial"/>
      <w:color w:val="00000A"/>
      <w:sz w:val="20"/>
      <w:szCs w:val="24"/>
      <w:lang w:val="cs-CZ" w:eastAsia="zh-CN" w:bidi="ar-SA"/>
    </w:rPr>
  </w:style>
  <w:style w:type="paragraph" w:styleId="Nadpis1">
    <w:name w:val="Nadpis 1"/>
    <w:basedOn w:val="Normal"/>
    <w:link w:val="Nadpis1Char"/>
    <w:uiPriority w:val="9"/>
    <w:qFormat/>
    <w:rsid w:val="00d810d3"/>
    <w:pPr>
      <w:keepNext/>
      <w:keepLines/>
      <w:spacing w:before="240" w:after="120"/>
      <w:outlineLvl w:val="0"/>
    </w:pPr>
    <w:rPr>
      <w:rFonts w:eastAsia="" w:cs="" w:cstheme="majorBidi" w:eastAsiaTheme="majorEastAsia"/>
      <w:b/>
      <w:sz w:val="24"/>
      <w:szCs w:val="32"/>
    </w:rPr>
  </w:style>
  <w:style w:type="paragraph" w:styleId="Nadpis2">
    <w:name w:val="Nadpis 2"/>
    <w:basedOn w:val="Normal"/>
    <w:link w:val="Nadpis2Char"/>
    <w:uiPriority w:val="9"/>
    <w:unhideWhenUsed/>
    <w:qFormat/>
    <w:rsid w:val="00d810d3"/>
    <w:pPr>
      <w:keepNext/>
      <w:keepLines/>
      <w:spacing w:before="120" w:after="120"/>
      <w:outlineLvl w:val="1"/>
    </w:pPr>
    <w:rPr>
      <w:rFonts w:eastAsia="" w:cs="" w:cstheme="majorBidi" w:eastAsiaTheme="majorEastAsia"/>
      <w:b/>
      <w:sz w:val="22"/>
      <w:szCs w:val="26"/>
    </w:rPr>
  </w:style>
  <w:style w:type="paragraph" w:styleId="Nadpis3">
    <w:name w:val="Nadpis 3"/>
    <w:basedOn w:val="Normal"/>
    <w:link w:val="Nadpis3Char"/>
    <w:uiPriority w:val="9"/>
    <w:semiHidden/>
    <w:unhideWhenUsed/>
    <w:qFormat/>
    <w:rsid w:val="00c22a91"/>
    <w:pPr>
      <w:keepNext/>
      <w:keepLines/>
      <w:spacing w:before="40" w:after="0"/>
      <w:outlineLvl w:val="2"/>
    </w:pPr>
    <w:rPr>
      <w:rFonts w:ascii="Calibri Light" w:hAnsi="Calibri Light" w:eastAsia="" w:cs="" w:asciiTheme="majorHAnsi" w:cstheme="majorBidi" w:eastAsiaTheme="majorEastAsia" w:hAnsiTheme="majorHAnsi"/>
      <w:color w:val="1F4D78" w:themeColor="accent1" w:themeShade="7f"/>
      <w:sz w:val="24"/>
    </w:rPr>
  </w:style>
  <w:style w:type="character" w:styleId="DefaultParagraphFont" w:default="1">
    <w:name w:val="Default Paragraph Font"/>
    <w:uiPriority w:val="1"/>
    <w:semiHidden/>
    <w:unhideWhenUsed/>
    <w:qFormat/>
    <w:rPr/>
  </w:style>
  <w:style w:type="character" w:styleId="Nadpis1Char" w:customStyle="1">
    <w:name w:val="Nadpis 1 Char"/>
    <w:basedOn w:val="DefaultParagraphFont"/>
    <w:link w:val="Nadpis1"/>
    <w:uiPriority w:val="9"/>
    <w:qFormat/>
    <w:rsid w:val="00c22a91"/>
    <w:rPr>
      <w:rFonts w:ascii="Arial Narrow" w:hAnsi="Arial Narrow" w:eastAsia="" w:cs="" w:cstheme="majorBidi" w:eastAsiaTheme="majorEastAsia"/>
      <w:b/>
      <w:sz w:val="24"/>
      <w:szCs w:val="32"/>
      <w:lang w:eastAsia="zh-CN"/>
    </w:rPr>
  </w:style>
  <w:style w:type="character" w:styleId="TextbublinyChar" w:customStyle="1">
    <w:name w:val="Text bubliny Char"/>
    <w:basedOn w:val="DefaultParagraphFont"/>
    <w:link w:val="Textbubliny"/>
    <w:uiPriority w:val="99"/>
    <w:semiHidden/>
    <w:qFormat/>
    <w:rsid w:val="00d0127e"/>
    <w:rPr>
      <w:rFonts w:ascii="Segoe UI" w:hAnsi="Segoe UI" w:eastAsia="Times New Roman" w:cs="Segoe UI"/>
      <w:sz w:val="18"/>
      <w:szCs w:val="18"/>
      <w:lang w:eastAsia="zh-CN"/>
    </w:rPr>
  </w:style>
  <w:style w:type="character" w:styleId="Nadpis2Char" w:customStyle="1">
    <w:name w:val="Nadpis 2 Char"/>
    <w:basedOn w:val="DefaultParagraphFont"/>
    <w:link w:val="Nadpis2"/>
    <w:uiPriority w:val="9"/>
    <w:qFormat/>
    <w:rsid w:val="00c22a91"/>
    <w:rPr>
      <w:rFonts w:ascii="Arial Narrow" w:hAnsi="Arial Narrow" w:eastAsia="" w:cs="" w:cstheme="majorBidi" w:eastAsiaTheme="majorEastAsia"/>
      <w:b/>
      <w:szCs w:val="26"/>
      <w:lang w:eastAsia="zh-CN"/>
    </w:rPr>
  </w:style>
  <w:style w:type="character" w:styleId="Nadpis3Char" w:customStyle="1">
    <w:name w:val="Nadpis 3 Char"/>
    <w:basedOn w:val="DefaultParagraphFont"/>
    <w:link w:val="Nadpis3"/>
    <w:uiPriority w:val="9"/>
    <w:semiHidden/>
    <w:qFormat/>
    <w:rsid w:val="00c22a91"/>
    <w:rPr>
      <w:rFonts w:ascii="Calibri Light" w:hAnsi="Calibri Light" w:eastAsia="" w:cs="" w:asciiTheme="majorHAnsi" w:cstheme="majorBidi" w:eastAsiaTheme="majorEastAsia" w:hAnsiTheme="majorHAnsi"/>
      <w:color w:val="1F4D78" w:themeColor="accent1" w:themeShade="7f"/>
      <w:sz w:val="24"/>
      <w:szCs w:val="24"/>
      <w:lang w:eastAsia="zh-CN"/>
    </w:rPr>
  </w:style>
  <w:style w:type="character" w:styleId="Promnn" w:customStyle="1">
    <w:name w:val="Proměnný"/>
    <w:qFormat/>
    <w:rsid w:val="00c22a91"/>
    <w:rPr>
      <w:i/>
      <w:iCs/>
    </w:rPr>
  </w:style>
  <w:style w:type="character" w:styleId="Annotationreference">
    <w:name w:val="annotation reference"/>
    <w:basedOn w:val="DefaultParagraphFont"/>
    <w:uiPriority w:val="99"/>
    <w:semiHidden/>
    <w:unhideWhenUsed/>
    <w:qFormat/>
    <w:rsid w:val="00466c46"/>
    <w:rPr>
      <w:sz w:val="16"/>
      <w:szCs w:val="16"/>
    </w:rPr>
  </w:style>
  <w:style w:type="character" w:styleId="TextkomenteChar" w:customStyle="1">
    <w:name w:val="Text komentáře Char"/>
    <w:basedOn w:val="DefaultParagraphFont"/>
    <w:link w:val="Textkomente"/>
    <w:uiPriority w:val="99"/>
    <w:semiHidden/>
    <w:qFormat/>
    <w:rsid w:val="00466c46"/>
    <w:rPr>
      <w:rFonts w:ascii="Arial Narrow" w:hAnsi="Arial Narrow" w:eastAsia="Times New Roman" w:cs="Arial"/>
      <w:sz w:val="20"/>
      <w:szCs w:val="20"/>
      <w:lang w:eastAsia="zh-CN"/>
    </w:rPr>
  </w:style>
  <w:style w:type="character" w:styleId="PedmtkomenteChar" w:customStyle="1">
    <w:name w:val="Předmět komentáře Char"/>
    <w:basedOn w:val="TextkomenteChar"/>
    <w:link w:val="Pedmtkomente"/>
    <w:uiPriority w:val="99"/>
    <w:semiHidden/>
    <w:qFormat/>
    <w:rsid w:val="00466c46"/>
    <w:rPr>
      <w:rFonts w:ascii="Arial Narrow" w:hAnsi="Arial Narrow" w:eastAsia="Times New Roman" w:cs="Arial"/>
      <w:b/>
      <w:bCs/>
      <w:sz w:val="20"/>
      <w:szCs w:val="20"/>
      <w:lang w:eastAsia="zh-CN"/>
    </w:rPr>
  </w:style>
  <w:style w:type="character" w:styleId="Internetovodkaz">
    <w:name w:val="Internetový odkaz"/>
    <w:basedOn w:val="DefaultParagraphFont"/>
    <w:uiPriority w:val="99"/>
    <w:unhideWhenUsed/>
    <w:rsid w:val="004702b7"/>
    <w:rPr>
      <w:color w:val="0563C1" w:themeColor="hyperlink"/>
      <w:u w:val="single"/>
    </w:rPr>
  </w:style>
  <w:style w:type="character" w:styleId="ZhlavChar" w:customStyle="1">
    <w:name w:val="Záhlaví Char"/>
    <w:basedOn w:val="DefaultParagraphFont"/>
    <w:link w:val="Zhlav"/>
    <w:uiPriority w:val="99"/>
    <w:qFormat/>
    <w:rsid w:val="005f1170"/>
    <w:rPr>
      <w:rFonts w:ascii="Arial Narrow" w:hAnsi="Arial Narrow" w:eastAsia="Times New Roman" w:cs="Arial"/>
      <w:sz w:val="20"/>
      <w:szCs w:val="24"/>
      <w:lang w:eastAsia="zh-CN"/>
    </w:rPr>
  </w:style>
  <w:style w:type="character" w:styleId="ZpatChar" w:customStyle="1">
    <w:name w:val="Zápatí Char"/>
    <w:basedOn w:val="DefaultParagraphFont"/>
    <w:link w:val="Zpat"/>
    <w:uiPriority w:val="99"/>
    <w:qFormat/>
    <w:rsid w:val="005f1170"/>
    <w:rPr>
      <w:rFonts w:ascii="Arial Narrow" w:hAnsi="Arial Narrow" w:eastAsia="Times New Roman" w:cs="Arial"/>
      <w:sz w:val="20"/>
      <w:szCs w:val="24"/>
      <w:lang w:eastAsia="zh-CN"/>
    </w:rPr>
  </w:style>
  <w:style w:type="character" w:styleId="ListLabel1" w:customStyle="1">
    <w:name w:val="ListLabel 1"/>
    <w:qFormat/>
    <w:rsid w:val="00022c7f"/>
    <w:rPr>
      <w:sz w:val="22"/>
    </w:rPr>
  </w:style>
  <w:style w:type="character" w:styleId="ListLabel2" w:customStyle="1">
    <w:name w:val="ListLabel 2"/>
    <w:qFormat/>
    <w:rsid w:val="00022c7f"/>
    <w:rPr>
      <w:b w:val="false"/>
      <w:i w:val="false"/>
      <w:sz w:val="22"/>
    </w:rPr>
  </w:style>
  <w:style w:type="character" w:styleId="ListLabel3" w:customStyle="1">
    <w:name w:val="ListLabel 3"/>
    <w:qFormat/>
    <w:rsid w:val="00022c7f"/>
    <w:rPr>
      <w:b/>
      <w:i w:val="false"/>
      <w:sz w:val="22"/>
    </w:rPr>
  </w:style>
  <w:style w:type="character" w:styleId="ListLabel4" w:customStyle="1">
    <w:name w:val="ListLabel 4"/>
    <w:qFormat/>
    <w:rsid w:val="00022c7f"/>
    <w:rPr>
      <w:b/>
    </w:rPr>
  </w:style>
  <w:style w:type="character" w:styleId="ListLabel5" w:customStyle="1">
    <w:name w:val="ListLabel 5"/>
    <w:qFormat/>
    <w:rsid w:val="00022c7f"/>
    <w:rPr>
      <w:rFonts w:eastAsia="Times New Roman" w:cs="Arial"/>
    </w:rPr>
  </w:style>
  <w:style w:type="character" w:styleId="ListLabel6" w:customStyle="1">
    <w:name w:val="ListLabel 6"/>
    <w:qFormat/>
    <w:rsid w:val="00022c7f"/>
    <w:rPr>
      <w:rFonts w:cs="Courier New"/>
    </w:rPr>
  </w:style>
  <w:style w:type="character" w:styleId="Odkaznarejstk" w:customStyle="1">
    <w:name w:val="Odkaz na rejstřík"/>
    <w:qFormat/>
    <w:rsid w:val="00022c7f"/>
    <w:rPr/>
  </w:style>
  <w:style w:type="character" w:styleId="ListLabel7">
    <w:name w:val="ListLabel 7"/>
    <w:qFormat/>
    <w:rPr>
      <w:sz w:val="22"/>
    </w:rPr>
  </w:style>
  <w:style w:type="character" w:styleId="ListLabel8">
    <w:name w:val="ListLabel 8"/>
    <w:qFormat/>
    <w:rPr>
      <w:b w:val="false"/>
      <w:i w:val="false"/>
      <w:sz w:val="22"/>
    </w:rPr>
  </w:style>
  <w:style w:type="character" w:styleId="ListLabel9">
    <w:name w:val="ListLabel 9"/>
    <w:qFormat/>
    <w:rPr>
      <w:b/>
      <w:i w:val="false"/>
      <w:sz w:val="22"/>
    </w:rPr>
  </w:style>
  <w:style w:type="character" w:styleId="ListLabel10">
    <w:name w:val="ListLabel 10"/>
    <w:qFormat/>
    <w:rPr>
      <w:b/>
    </w:rPr>
  </w:style>
  <w:style w:type="character" w:styleId="ListLabel11">
    <w:name w:val="ListLabel 11"/>
    <w:qFormat/>
    <w:rPr>
      <w:rFonts w:cs="Arial"/>
    </w:rPr>
  </w:style>
  <w:style w:type="character" w:styleId="ListLabel12">
    <w:name w:val="ListLabel 12"/>
    <w:qFormat/>
    <w:rPr>
      <w:rFonts w:cs="Courier New"/>
    </w:rPr>
  </w:style>
  <w:style w:type="character" w:styleId="ListLabel13">
    <w:name w:val="ListLabel 13"/>
    <w:qFormat/>
    <w:rPr>
      <w:rFonts w:cs="Wingdings"/>
    </w:rPr>
  </w:style>
  <w:style w:type="character" w:styleId="ListLabel14">
    <w:name w:val="ListLabel 14"/>
    <w:qFormat/>
    <w:rPr>
      <w:rFonts w:cs="Symbol"/>
    </w:rPr>
  </w:style>
  <w:style w:type="character" w:styleId="ListLabel15">
    <w:name w:val="ListLabel 15"/>
    <w:qFormat/>
    <w:rPr>
      <w:sz w:val="22"/>
    </w:rPr>
  </w:style>
  <w:style w:type="character" w:styleId="ListLabel16">
    <w:name w:val="ListLabel 16"/>
    <w:qFormat/>
    <w:rPr>
      <w:b w:val="false"/>
      <w:i w:val="false"/>
      <w:sz w:val="22"/>
    </w:rPr>
  </w:style>
  <w:style w:type="character" w:styleId="ListLabel17">
    <w:name w:val="ListLabel 17"/>
    <w:qFormat/>
    <w:rPr>
      <w:b/>
      <w:i w:val="false"/>
      <w:sz w:val="22"/>
    </w:rPr>
  </w:style>
  <w:style w:type="character" w:styleId="ListLabel18">
    <w:name w:val="ListLabel 18"/>
    <w:qFormat/>
    <w:rPr>
      <w:b/>
    </w:rPr>
  </w:style>
  <w:style w:type="paragraph" w:styleId="Nadpis" w:customStyle="1">
    <w:name w:val="Nadpis"/>
    <w:basedOn w:val="Normal"/>
    <w:next w:val="Tlotextu"/>
    <w:qFormat/>
    <w:rsid w:val="00022c7f"/>
    <w:pPr>
      <w:keepNext/>
      <w:spacing w:before="240" w:after="120"/>
    </w:pPr>
    <w:rPr>
      <w:rFonts w:ascii="Liberation Sans" w:hAnsi="Liberation Sans" w:eastAsia="Microsoft YaHei"/>
      <w:sz w:val="28"/>
      <w:szCs w:val="28"/>
    </w:rPr>
  </w:style>
  <w:style w:type="paragraph" w:styleId="Tlotextu" w:customStyle="1">
    <w:name w:val="Tělo textu"/>
    <w:basedOn w:val="Normal"/>
    <w:rsid w:val="00022c7f"/>
    <w:pPr>
      <w:spacing w:lineRule="auto" w:line="288" w:before="0" w:after="140"/>
    </w:pPr>
    <w:rPr/>
  </w:style>
  <w:style w:type="paragraph" w:styleId="Seznam">
    <w:name w:val="Seznam"/>
    <w:basedOn w:val="Tlotextu"/>
    <w:rsid w:val="00022c7f"/>
    <w:pPr/>
    <w:rPr/>
  </w:style>
  <w:style w:type="paragraph" w:styleId="Popisek" w:customStyle="1">
    <w:name w:val="Popisek"/>
    <w:basedOn w:val="Normal"/>
    <w:rsid w:val="00022c7f"/>
    <w:pPr>
      <w:suppressLineNumbers/>
      <w:spacing w:before="120" w:after="120"/>
    </w:pPr>
    <w:rPr>
      <w:i/>
      <w:iCs/>
      <w:sz w:val="24"/>
    </w:rPr>
  </w:style>
  <w:style w:type="paragraph" w:styleId="Rejstk" w:customStyle="1">
    <w:name w:val="Rejstřík"/>
    <w:basedOn w:val="Normal"/>
    <w:qFormat/>
    <w:rsid w:val="00022c7f"/>
    <w:pPr>
      <w:suppressLineNumbers/>
    </w:pPr>
    <w:rPr/>
  </w:style>
  <w:style w:type="paragraph" w:styleId="ListParagraph">
    <w:name w:val="List Paragraph"/>
    <w:basedOn w:val="Normal"/>
    <w:uiPriority w:val="34"/>
    <w:qFormat/>
    <w:rsid w:val="00c8095b"/>
    <w:pPr>
      <w:spacing w:before="0" w:after="0"/>
      <w:ind w:left="720" w:hanging="0"/>
      <w:contextualSpacing/>
    </w:pPr>
    <w:rPr/>
  </w:style>
  <w:style w:type="paragraph" w:styleId="BalloonText">
    <w:name w:val="Balloon Text"/>
    <w:basedOn w:val="Normal"/>
    <w:link w:val="TextbublinyChar"/>
    <w:uiPriority w:val="99"/>
    <w:semiHidden/>
    <w:unhideWhenUsed/>
    <w:qFormat/>
    <w:rsid w:val="00d0127e"/>
    <w:pPr/>
    <w:rPr>
      <w:rFonts w:ascii="Segoe UI" w:hAnsi="Segoe UI" w:cs="Segoe UI"/>
      <w:sz w:val="18"/>
      <w:szCs w:val="18"/>
    </w:rPr>
  </w:style>
  <w:style w:type="paragraph" w:styleId="Zkladntextodsazen21" w:customStyle="1">
    <w:name w:val="Základní text odsazený 21"/>
    <w:basedOn w:val="Normal"/>
    <w:qFormat/>
    <w:rsid w:val="009d3c07"/>
    <w:pPr>
      <w:ind w:left="360" w:firstLine="72"/>
      <w:jc w:val="both"/>
    </w:pPr>
    <w:rPr>
      <w:rFonts w:ascii="Arial" w:hAnsi="Arial"/>
      <w:sz w:val="22"/>
    </w:rPr>
  </w:style>
  <w:style w:type="paragraph" w:styleId="Annotationtext">
    <w:name w:val="annotation text"/>
    <w:basedOn w:val="Normal"/>
    <w:link w:val="TextkomenteChar"/>
    <w:uiPriority w:val="99"/>
    <w:semiHidden/>
    <w:unhideWhenUsed/>
    <w:qFormat/>
    <w:rsid w:val="00466c46"/>
    <w:pPr/>
    <w:rPr>
      <w:szCs w:val="20"/>
    </w:rPr>
  </w:style>
  <w:style w:type="paragraph" w:styleId="Annotationsubject">
    <w:name w:val="annotation subject"/>
    <w:basedOn w:val="Annotationtext"/>
    <w:link w:val="PedmtkomenteChar"/>
    <w:uiPriority w:val="99"/>
    <w:semiHidden/>
    <w:unhideWhenUsed/>
    <w:qFormat/>
    <w:rsid w:val="00466c46"/>
    <w:pPr/>
    <w:rPr>
      <w:b/>
      <w:bCs/>
    </w:rPr>
  </w:style>
  <w:style w:type="paragraph" w:styleId="Nadpisobsahu">
    <w:name w:val="Nadpis obsahu"/>
    <w:basedOn w:val="Nadpis1"/>
    <w:uiPriority w:val="39"/>
    <w:unhideWhenUsed/>
    <w:qFormat/>
    <w:rsid w:val="005f1170"/>
    <w:pPr>
      <w:suppressAutoHyphens w:val="false"/>
      <w:spacing w:lineRule="auto" w:line="259" w:before="240" w:after="0"/>
    </w:pPr>
    <w:rPr>
      <w:rFonts w:ascii="Calibri Light" w:hAnsi="Calibri Light" w:asciiTheme="majorHAnsi" w:hAnsiTheme="majorHAnsi"/>
      <w:b w:val="false"/>
      <w:color w:val="2E74B5" w:themeColor="accent1" w:themeShade="bf"/>
      <w:sz w:val="32"/>
      <w:lang w:eastAsia="cs-CZ"/>
    </w:rPr>
  </w:style>
  <w:style w:type="paragraph" w:styleId="Obsah1">
    <w:name w:val="Obsah 1"/>
    <w:basedOn w:val="Normal"/>
    <w:autoRedefine/>
    <w:uiPriority w:val="39"/>
    <w:unhideWhenUsed/>
    <w:rsid w:val="005f1170"/>
    <w:pPr>
      <w:spacing w:before="0" w:after="100"/>
    </w:pPr>
    <w:rPr/>
  </w:style>
  <w:style w:type="paragraph" w:styleId="Obsah2">
    <w:name w:val="Obsah 2"/>
    <w:basedOn w:val="Normal"/>
    <w:autoRedefine/>
    <w:uiPriority w:val="39"/>
    <w:unhideWhenUsed/>
    <w:rsid w:val="005f1170"/>
    <w:pPr>
      <w:spacing w:before="0" w:after="100"/>
      <w:ind w:left="200" w:hanging="0"/>
    </w:pPr>
    <w:rPr/>
  </w:style>
  <w:style w:type="paragraph" w:styleId="Zhlav">
    <w:name w:val="Záhlaví"/>
    <w:basedOn w:val="Normal"/>
    <w:link w:val="ZhlavChar"/>
    <w:uiPriority w:val="99"/>
    <w:unhideWhenUsed/>
    <w:rsid w:val="005f1170"/>
    <w:pPr>
      <w:tabs>
        <w:tab w:val="center" w:pos="4536" w:leader="none"/>
        <w:tab w:val="right" w:pos="9072" w:leader="none"/>
      </w:tabs>
    </w:pPr>
    <w:rPr/>
  </w:style>
  <w:style w:type="paragraph" w:styleId="Zpat">
    <w:name w:val="Zápatí"/>
    <w:basedOn w:val="Normal"/>
    <w:link w:val="ZpatChar"/>
    <w:uiPriority w:val="99"/>
    <w:unhideWhenUsed/>
    <w:rsid w:val="005f1170"/>
    <w:pPr>
      <w:tabs>
        <w:tab w:val="center" w:pos="4536" w:leader="none"/>
        <w:tab w:val="right" w:pos="9072" w:leader="none"/>
      </w:tabs>
    </w:pPr>
    <w:rPr/>
  </w:style>
  <w:style w:type="paragraph" w:styleId="Quotations" w:customStyle="1">
    <w:name w:val="Quotations"/>
    <w:basedOn w:val="Normal"/>
    <w:qFormat/>
    <w:rsid w:val="00022c7f"/>
    <w:pPr/>
    <w:rPr/>
  </w:style>
  <w:style w:type="paragraph" w:styleId="Nzev">
    <w:name w:val="Název"/>
    <w:basedOn w:val="Nadpis"/>
    <w:rsid w:val="00022c7f"/>
    <w:pPr/>
    <w:rPr/>
  </w:style>
  <w:style w:type="paragraph" w:styleId="Podtitul">
    <w:name w:val="Podtitul"/>
    <w:basedOn w:val="Nadpis"/>
    <w:rsid w:val="00022c7f"/>
    <w:pPr/>
    <w:rPr/>
  </w:style>
  <w:style w:type="numbering" w:styleId="NoList" w:default="1">
    <w:name w:val="No List"/>
    <w:uiPriority w:val="99"/>
    <w:semiHidden/>
    <w:unhideWhenUsed/>
  </w:style>
  <w:style w:type="numbering" w:styleId="Styl1" w:customStyle="1">
    <w:name w:val="Styl1"/>
    <w:uiPriority w:val="99"/>
    <w:rsid w:val="00d810d3"/>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9CA60-241D-48A9-8CBF-AAC675F0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Application>LibreOffice/5.0.0.5$Windows_x86 LibreOffice_project/1b1a90865e348b492231e1c451437d7a15bb262b</Application>
  <Paragraphs>327</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2017-01-08T17:30:00Z</dcterms:created>
  <dc:creator>Andrea</dc:creator>
  <dc:language>cs-CZ</dc:language>
  <cp:lastPrinted>2017-01-17T14:25:00Z</cp:lastPrinted>
  <dcterms:modified xsi:type="dcterms:W3CDTF">2017-04-07T10:47:08Z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